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28D7" w:rsidRPr="00673932" w:rsidRDefault="006F4201" w:rsidP="00910984">
      <w:pPr>
        <w:pStyle w:val="SectionTitle"/>
        <w:pageBreakBefore w:val="0"/>
        <w:widowControl w:val="0"/>
        <w:spacing w:before="1800" w:after="0"/>
        <w:rPr>
          <w:rFonts w:ascii="Public Sans" w:hAnsi="Public Sans"/>
          <w:color w:val="auto"/>
        </w:rPr>
      </w:pPr>
      <w:r w:rsidRPr="00673932">
        <w:rPr>
          <w:rFonts w:ascii="Public Sans" w:hAnsi="Public Sans"/>
          <w:color w:val="auto"/>
        </w:rPr>
        <w:t xml:space="preserve">NSW </w:t>
      </w:r>
      <w:r w:rsidR="002E6048" w:rsidRPr="00673932">
        <w:rPr>
          <w:rFonts w:ascii="Public Sans" w:hAnsi="Public Sans"/>
          <w:color w:val="auto"/>
        </w:rPr>
        <w:t>Ageing and disability commission</w:t>
      </w:r>
      <w:r w:rsidR="00C828D7" w:rsidRPr="00673932">
        <w:rPr>
          <w:rFonts w:ascii="Public Sans" w:hAnsi="Public Sans"/>
          <w:color w:val="auto"/>
        </w:rPr>
        <w:t xml:space="preserve"> </w:t>
      </w:r>
    </w:p>
    <w:p w:rsidR="001151A5" w:rsidRPr="00673932" w:rsidRDefault="001151A5" w:rsidP="00910984">
      <w:pPr>
        <w:widowControl w:val="0"/>
        <w:rPr>
          <w:rStyle w:val="ChapterSubheading"/>
          <w:rFonts w:ascii="Public Sans" w:hAnsi="Public Sans"/>
          <w:color w:val="auto"/>
        </w:rPr>
      </w:pPr>
    </w:p>
    <w:p w:rsidR="002E6048" w:rsidRPr="00673932" w:rsidRDefault="00CC314B" w:rsidP="00910984">
      <w:pPr>
        <w:widowControl w:val="0"/>
        <w:rPr>
          <w:rStyle w:val="ChapterSubheading"/>
          <w:rFonts w:ascii="Public Sans" w:hAnsi="Public Sans"/>
          <w:color w:val="auto"/>
        </w:rPr>
      </w:pPr>
      <w:r w:rsidRPr="00673932">
        <w:rPr>
          <w:rStyle w:val="ChapterSubheading"/>
          <w:rFonts w:ascii="Public Sans" w:hAnsi="Public Sans"/>
          <w:color w:val="auto"/>
        </w:rPr>
        <w:t xml:space="preserve">submission to </w:t>
      </w:r>
      <w:r w:rsidR="0022567D" w:rsidRPr="00673932">
        <w:rPr>
          <w:rStyle w:val="ChapterSubheading"/>
          <w:rFonts w:ascii="Public Sans" w:hAnsi="Public Sans"/>
          <w:color w:val="auto"/>
        </w:rPr>
        <w:t xml:space="preserve">THE </w:t>
      </w:r>
      <w:r w:rsidR="005E255C" w:rsidRPr="00673932">
        <w:rPr>
          <w:rStyle w:val="ChapterSubheading"/>
          <w:rFonts w:ascii="Public Sans" w:hAnsi="Public Sans"/>
          <w:color w:val="auto"/>
        </w:rPr>
        <w:t xml:space="preserve">INDEPENDENT REVIEW OF THE </w:t>
      </w:r>
      <w:r w:rsidR="005E255C" w:rsidRPr="00673932">
        <w:rPr>
          <w:rStyle w:val="ChapterSubheading"/>
          <w:rFonts w:ascii="Public Sans" w:hAnsi="Public Sans"/>
          <w:i/>
          <w:color w:val="auto"/>
        </w:rPr>
        <w:t>aGEING AND DISABILITY COMMISSIONER ACT 2019</w:t>
      </w:r>
      <w:r w:rsidRPr="00673932">
        <w:rPr>
          <w:rStyle w:val="ChapterSubheading"/>
          <w:rFonts w:ascii="Public Sans" w:hAnsi="Public Sans"/>
          <w:color w:val="auto"/>
        </w:rPr>
        <w:t xml:space="preserve"> </w:t>
      </w:r>
    </w:p>
    <w:p w:rsidR="00CC314B" w:rsidRPr="00673932" w:rsidRDefault="00CC314B" w:rsidP="00910984">
      <w:pPr>
        <w:widowControl w:val="0"/>
        <w:rPr>
          <w:rFonts w:ascii="Public Sans" w:hAnsi="Public Sans"/>
          <w:sz w:val="28"/>
          <w:szCs w:val="28"/>
          <w:lang w:eastAsia="en-AU"/>
        </w:rPr>
      </w:pPr>
    </w:p>
    <w:p w:rsidR="006F4201" w:rsidRPr="00673932" w:rsidRDefault="006F4201" w:rsidP="00910984">
      <w:pPr>
        <w:widowControl w:val="0"/>
        <w:jc w:val="right"/>
        <w:rPr>
          <w:rFonts w:ascii="Public Sans" w:hAnsi="Public Sans"/>
          <w:sz w:val="28"/>
          <w:szCs w:val="28"/>
          <w:lang w:eastAsia="en-AU"/>
        </w:rPr>
      </w:pPr>
    </w:p>
    <w:p w:rsidR="002B5DB1" w:rsidRPr="00673932" w:rsidRDefault="005E255C" w:rsidP="00910984">
      <w:pPr>
        <w:widowControl w:val="0"/>
        <w:jc w:val="right"/>
        <w:rPr>
          <w:rFonts w:ascii="Public Sans" w:hAnsi="Public Sans"/>
          <w:sz w:val="28"/>
          <w:szCs w:val="28"/>
          <w:lang w:eastAsia="en-AU"/>
        </w:rPr>
      </w:pPr>
      <w:r w:rsidRPr="00673932">
        <w:rPr>
          <w:rFonts w:ascii="Public Sans" w:hAnsi="Public Sans"/>
          <w:sz w:val="28"/>
          <w:szCs w:val="28"/>
          <w:lang w:eastAsia="en-AU"/>
        </w:rPr>
        <w:t>December 20</w:t>
      </w:r>
      <w:r w:rsidR="007D19DC" w:rsidRPr="00673932">
        <w:rPr>
          <w:rFonts w:ascii="Public Sans" w:hAnsi="Public Sans"/>
          <w:sz w:val="28"/>
          <w:szCs w:val="28"/>
          <w:lang w:eastAsia="en-AU"/>
        </w:rPr>
        <w:t>22</w:t>
      </w:r>
    </w:p>
    <w:p w:rsidR="00C828D7" w:rsidRPr="001A2E2E" w:rsidRDefault="00C828D7" w:rsidP="00910984">
      <w:pPr>
        <w:pStyle w:val="Chaptertext"/>
        <w:widowControl w:val="0"/>
        <w:spacing w:before="0" w:after="0" w:line="240" w:lineRule="auto"/>
        <w:rPr>
          <w:rFonts w:ascii="Public Sans" w:hAnsi="Public Sans"/>
          <w:color w:val="002060"/>
        </w:rPr>
      </w:pPr>
    </w:p>
    <w:p w:rsidR="003D4A27" w:rsidRPr="001A2E2E" w:rsidRDefault="003D4A27" w:rsidP="00910984">
      <w:pPr>
        <w:pStyle w:val="TOCHeading"/>
        <w:keepNext w:val="0"/>
        <w:keepLines w:val="0"/>
        <w:spacing w:before="0" w:after="0"/>
        <w:rPr>
          <w:rFonts w:ascii="Public Sans" w:hAnsi="Public Sans"/>
          <w:color w:val="002060"/>
        </w:rPr>
      </w:pPr>
    </w:p>
    <w:p w:rsidR="000951C1" w:rsidRPr="001A2E2E" w:rsidRDefault="00185BAF" w:rsidP="00910984">
      <w:pPr>
        <w:widowControl w:val="0"/>
        <w:rPr>
          <w:rFonts w:ascii="Public Sans" w:hAnsi="Public Sans"/>
          <w:color w:val="002060"/>
          <w:lang w:eastAsia="en-AU"/>
        </w:rPr>
        <w:sectPr w:rsidR="000951C1" w:rsidRPr="001A2E2E" w:rsidSect="006915E2">
          <w:headerReference w:type="default" r:id="rId11"/>
          <w:footerReference w:type="default" r:id="rId12"/>
          <w:footerReference w:type="first" r:id="rId13"/>
          <w:pgSz w:w="11906" w:h="16838" w:code="9"/>
          <w:pgMar w:top="1134" w:right="1304" w:bottom="964" w:left="1304" w:header="567" w:footer="567" w:gutter="0"/>
          <w:pgNumType w:start="0"/>
          <w:cols w:space="708"/>
          <w:docGrid w:linePitch="360"/>
        </w:sectPr>
      </w:pPr>
      <w:r>
        <w:rPr>
          <w:rFonts w:ascii="Public Sans" w:hAnsi="Public Sans"/>
          <w:color w:val="002060"/>
          <w:lang w:eastAsia="en-AU"/>
        </w:rPr>
        <w:softHyphen/>
      </w:r>
    </w:p>
    <w:p w:rsidR="00317AD9" w:rsidRDefault="00CF4B63" w:rsidP="00910984">
      <w:pPr>
        <w:pStyle w:val="BodyText"/>
        <w:widowControl w:val="0"/>
        <w:spacing w:before="0" w:after="0" w:line="240" w:lineRule="auto"/>
        <w:rPr>
          <w:rFonts w:ascii="Public Sans" w:hAnsi="Public Sans"/>
          <w:sz w:val="22"/>
        </w:rPr>
      </w:pPr>
      <w:bookmarkStart w:id="0" w:name="_Toc434940756"/>
      <w:r>
        <w:rPr>
          <w:rFonts w:ascii="Public Sans" w:hAnsi="Public Sans"/>
          <w:sz w:val="22"/>
        </w:rPr>
        <w:lastRenderedPageBreak/>
        <w:t>The A</w:t>
      </w:r>
      <w:r w:rsidR="002751C4">
        <w:rPr>
          <w:rFonts w:ascii="Public Sans" w:hAnsi="Public Sans"/>
          <w:sz w:val="22"/>
        </w:rPr>
        <w:t>geing and Disability Commission (A</w:t>
      </w:r>
      <w:r>
        <w:rPr>
          <w:rFonts w:ascii="Public Sans" w:hAnsi="Public Sans"/>
          <w:sz w:val="22"/>
        </w:rPr>
        <w:t>DC</w:t>
      </w:r>
      <w:r w:rsidR="002751C4">
        <w:rPr>
          <w:rFonts w:ascii="Public Sans" w:hAnsi="Public Sans"/>
          <w:sz w:val="22"/>
        </w:rPr>
        <w:t>)</w:t>
      </w:r>
      <w:r>
        <w:rPr>
          <w:rFonts w:ascii="Public Sans" w:hAnsi="Public Sans"/>
          <w:sz w:val="22"/>
        </w:rPr>
        <w:t xml:space="preserve"> welcomes the opportunity to </w:t>
      </w:r>
      <w:r w:rsidR="006A21B4">
        <w:rPr>
          <w:rFonts w:ascii="Public Sans" w:hAnsi="Public Sans"/>
          <w:sz w:val="22"/>
        </w:rPr>
        <w:t>make</w:t>
      </w:r>
      <w:r>
        <w:rPr>
          <w:rFonts w:ascii="Public Sans" w:hAnsi="Public Sans"/>
          <w:sz w:val="22"/>
        </w:rPr>
        <w:t xml:space="preserve"> a submission to the independent review of the </w:t>
      </w:r>
      <w:r w:rsidRPr="00CF4B63">
        <w:rPr>
          <w:rFonts w:ascii="Public Sans" w:hAnsi="Public Sans"/>
          <w:i/>
          <w:sz w:val="22"/>
        </w:rPr>
        <w:t>Ageing and Disability Commissioner Act 2019</w:t>
      </w:r>
      <w:r>
        <w:rPr>
          <w:rFonts w:ascii="Public Sans" w:hAnsi="Public Sans"/>
          <w:sz w:val="22"/>
        </w:rPr>
        <w:t xml:space="preserve">. While </w:t>
      </w:r>
      <w:r w:rsidR="008A5D29">
        <w:rPr>
          <w:rFonts w:ascii="Public Sans" w:hAnsi="Public Sans"/>
          <w:sz w:val="22"/>
        </w:rPr>
        <w:t>we are</w:t>
      </w:r>
      <w:r>
        <w:rPr>
          <w:rFonts w:ascii="Public Sans" w:hAnsi="Public Sans"/>
          <w:sz w:val="22"/>
        </w:rPr>
        <w:t xml:space="preserve"> still at a relatively early point in </w:t>
      </w:r>
      <w:r w:rsidR="008A5D29">
        <w:rPr>
          <w:rFonts w:ascii="Public Sans" w:hAnsi="Public Sans"/>
          <w:sz w:val="22"/>
        </w:rPr>
        <w:t>our</w:t>
      </w:r>
      <w:r>
        <w:rPr>
          <w:rFonts w:ascii="Public Sans" w:hAnsi="Public Sans"/>
          <w:sz w:val="22"/>
        </w:rPr>
        <w:t xml:space="preserve"> operation</w:t>
      </w:r>
      <w:r w:rsidR="008A5D29">
        <w:rPr>
          <w:rFonts w:ascii="Public Sans" w:hAnsi="Public Sans"/>
          <w:sz w:val="22"/>
        </w:rPr>
        <w:t>, the past t</w:t>
      </w:r>
      <w:r>
        <w:rPr>
          <w:rFonts w:ascii="Public Sans" w:hAnsi="Public Sans"/>
          <w:sz w:val="22"/>
        </w:rPr>
        <w:t>hree and a half years</w:t>
      </w:r>
      <w:r w:rsidR="008A5D29">
        <w:rPr>
          <w:rFonts w:ascii="Public Sans" w:hAnsi="Public Sans"/>
          <w:sz w:val="22"/>
        </w:rPr>
        <w:t xml:space="preserve"> have </w:t>
      </w:r>
      <w:r w:rsidR="002751C4">
        <w:rPr>
          <w:rFonts w:ascii="Public Sans" w:hAnsi="Public Sans"/>
          <w:sz w:val="22"/>
        </w:rPr>
        <w:t xml:space="preserve">enabled us </w:t>
      </w:r>
      <w:r w:rsidR="008A5D29">
        <w:rPr>
          <w:rFonts w:ascii="Public Sans" w:hAnsi="Public Sans"/>
          <w:sz w:val="22"/>
        </w:rPr>
        <w:t xml:space="preserve">to identify aspects of the legislation </w:t>
      </w:r>
      <w:r w:rsidR="002751C4">
        <w:rPr>
          <w:rFonts w:ascii="Public Sans" w:hAnsi="Public Sans"/>
          <w:sz w:val="22"/>
        </w:rPr>
        <w:t xml:space="preserve">that are appropriate for securing the objectives of the Act, and areas that could be strengthened or improved. </w:t>
      </w:r>
      <w:r>
        <w:rPr>
          <w:rFonts w:ascii="Public Sans" w:hAnsi="Public Sans"/>
          <w:sz w:val="22"/>
        </w:rPr>
        <w:t xml:space="preserve">  </w:t>
      </w:r>
    </w:p>
    <w:p w:rsidR="006D4327" w:rsidRDefault="006D4327" w:rsidP="00910984">
      <w:pPr>
        <w:pStyle w:val="BodyText"/>
        <w:widowControl w:val="0"/>
        <w:spacing w:before="0" w:after="0" w:line="240" w:lineRule="auto"/>
        <w:rPr>
          <w:rFonts w:ascii="Public Sans" w:hAnsi="Public Sans"/>
          <w:sz w:val="22"/>
        </w:rPr>
      </w:pPr>
    </w:p>
    <w:p w:rsidR="006D4327" w:rsidRDefault="006D4327" w:rsidP="00910984">
      <w:pPr>
        <w:pStyle w:val="BodyText"/>
        <w:widowControl w:val="0"/>
        <w:spacing w:before="0" w:after="0" w:line="240" w:lineRule="auto"/>
        <w:rPr>
          <w:rFonts w:ascii="Public Sans" w:hAnsi="Public Sans"/>
          <w:sz w:val="22"/>
        </w:rPr>
      </w:pPr>
      <w:r>
        <w:rPr>
          <w:rFonts w:ascii="Public Sans" w:hAnsi="Public Sans"/>
          <w:sz w:val="22"/>
        </w:rPr>
        <w:t xml:space="preserve">Please note that information on the operation and performance of the ADC in implementing the Act can be found in the ADC annual reports and OCV scheme annual reports, located on </w:t>
      </w:r>
      <w:hyperlink r:id="rId14" w:history="1">
        <w:r w:rsidRPr="006D4327">
          <w:rPr>
            <w:rStyle w:val="Hyperlink"/>
            <w:rFonts w:ascii="Public Sans" w:hAnsi="Public Sans"/>
            <w:sz w:val="22"/>
          </w:rPr>
          <w:t>our website</w:t>
        </w:r>
      </w:hyperlink>
      <w:r>
        <w:rPr>
          <w:rFonts w:ascii="Public Sans" w:hAnsi="Public Sans"/>
          <w:sz w:val="22"/>
        </w:rPr>
        <w:t xml:space="preserve">. The </w:t>
      </w:r>
      <w:hyperlink r:id="rId15" w:history="1">
        <w:r w:rsidRPr="006D4327">
          <w:rPr>
            <w:rStyle w:val="Hyperlink"/>
            <w:rFonts w:ascii="Public Sans" w:hAnsi="Public Sans"/>
            <w:sz w:val="22"/>
          </w:rPr>
          <w:t>ADC dashboard</w:t>
        </w:r>
      </w:hyperlink>
      <w:r>
        <w:rPr>
          <w:rFonts w:ascii="Public Sans" w:hAnsi="Public Sans"/>
          <w:sz w:val="22"/>
        </w:rPr>
        <w:t xml:space="preserve"> also provides quarterly and annual data on calls, enquiries and reports to the ADC. </w:t>
      </w:r>
    </w:p>
    <w:p w:rsidR="00807DAE" w:rsidRDefault="00807DAE" w:rsidP="00910984">
      <w:pPr>
        <w:pStyle w:val="BodyText"/>
        <w:widowControl w:val="0"/>
        <w:spacing w:before="0" w:after="0" w:line="240" w:lineRule="auto"/>
        <w:rPr>
          <w:rFonts w:ascii="Public Sans" w:hAnsi="Public Sans"/>
          <w:sz w:val="22"/>
        </w:rPr>
      </w:pPr>
    </w:p>
    <w:p w:rsidR="00807DAE" w:rsidRDefault="00807DAE" w:rsidP="00910984">
      <w:pPr>
        <w:pStyle w:val="BodyText"/>
        <w:widowControl w:val="0"/>
        <w:spacing w:before="0" w:after="0" w:line="240" w:lineRule="auto"/>
        <w:rPr>
          <w:rFonts w:ascii="Public Sans" w:hAnsi="Public Sans"/>
          <w:sz w:val="22"/>
        </w:rPr>
      </w:pPr>
      <w:r>
        <w:rPr>
          <w:rFonts w:ascii="Public Sans" w:hAnsi="Public Sans"/>
          <w:sz w:val="22"/>
        </w:rPr>
        <w:t xml:space="preserve">We would appreciate the opportunity to discuss our submission with you. We recognise that there are some areas </w:t>
      </w:r>
      <w:r w:rsidR="00C43012">
        <w:rPr>
          <w:rFonts w:ascii="Public Sans" w:hAnsi="Public Sans"/>
          <w:sz w:val="22"/>
        </w:rPr>
        <w:t xml:space="preserve">in which you may want further details or clarification (such as </w:t>
      </w:r>
      <w:r w:rsidR="00013B72">
        <w:rPr>
          <w:rFonts w:ascii="Public Sans" w:hAnsi="Public Sans"/>
          <w:sz w:val="22"/>
        </w:rPr>
        <w:t xml:space="preserve">in relation to </w:t>
      </w:r>
      <w:r w:rsidR="00C43012">
        <w:rPr>
          <w:rFonts w:ascii="Public Sans" w:hAnsi="Public Sans"/>
          <w:sz w:val="22"/>
        </w:rPr>
        <w:t xml:space="preserve">conciliation and enforceable undertakings), and would be happy to elucidate in a meeting. </w:t>
      </w:r>
    </w:p>
    <w:p w:rsidR="00807DAE" w:rsidRDefault="00807DAE" w:rsidP="00910984">
      <w:pPr>
        <w:pStyle w:val="BodyText"/>
        <w:widowControl w:val="0"/>
        <w:spacing w:before="0" w:after="0" w:line="240" w:lineRule="auto"/>
        <w:rPr>
          <w:rFonts w:ascii="Public Sans" w:hAnsi="Public Sans"/>
          <w:sz w:val="22"/>
        </w:rPr>
      </w:pPr>
    </w:p>
    <w:p w:rsidR="003C492D" w:rsidRDefault="002720BD" w:rsidP="00910984">
      <w:pPr>
        <w:pStyle w:val="Heading2"/>
        <w:keepNext w:val="0"/>
        <w:keepLines w:val="0"/>
        <w:widowControl w:val="0"/>
        <w:spacing w:before="0" w:after="240"/>
        <w:rPr>
          <w:rFonts w:ascii="Public Sans" w:hAnsi="Public Sans"/>
          <w:b/>
          <w:color w:val="000000" w:themeColor="text1"/>
        </w:rPr>
      </w:pPr>
      <w:r>
        <w:rPr>
          <w:rFonts w:ascii="Public Sans" w:hAnsi="Public Sans"/>
          <w:b/>
          <w:color w:val="000000" w:themeColor="text1"/>
        </w:rPr>
        <w:t>Part 1 – Preliminary</w:t>
      </w:r>
    </w:p>
    <w:p w:rsidR="003C492D" w:rsidRPr="002720BD" w:rsidRDefault="003C492D" w:rsidP="00910984">
      <w:pPr>
        <w:pStyle w:val="Heading3"/>
        <w:keepNext w:val="0"/>
        <w:keepLines w:val="0"/>
        <w:widowControl w:val="0"/>
        <w:rPr>
          <w:rFonts w:ascii="Public Sans" w:hAnsi="Public Sans"/>
          <w:b/>
          <w:color w:val="000000" w:themeColor="text1"/>
        </w:rPr>
      </w:pPr>
      <w:r w:rsidRPr="002720BD">
        <w:rPr>
          <w:rFonts w:ascii="Public Sans" w:hAnsi="Public Sans"/>
          <w:b/>
          <w:color w:val="000000" w:themeColor="text1"/>
        </w:rPr>
        <w:t>Objects</w:t>
      </w:r>
      <w:r w:rsidR="004D739D">
        <w:rPr>
          <w:rFonts w:ascii="Public Sans" w:hAnsi="Public Sans"/>
          <w:b/>
          <w:color w:val="000000" w:themeColor="text1"/>
        </w:rPr>
        <w:t xml:space="preserve"> (section 4(1))</w:t>
      </w:r>
    </w:p>
    <w:p w:rsidR="003C492D" w:rsidRDefault="00DC1834" w:rsidP="00910984">
      <w:pPr>
        <w:pStyle w:val="BodyText"/>
        <w:widowControl w:val="0"/>
        <w:spacing w:before="0" w:after="0" w:line="240" w:lineRule="auto"/>
        <w:rPr>
          <w:rFonts w:ascii="Public Sans" w:hAnsi="Public Sans"/>
          <w:sz w:val="22"/>
        </w:rPr>
      </w:pPr>
      <w:r>
        <w:rPr>
          <w:rFonts w:ascii="Public Sans" w:hAnsi="Public Sans"/>
          <w:sz w:val="22"/>
        </w:rPr>
        <w:t>The ADC considers that the objects are still valid, and the rights-based approach and focus on abuse, neglect and exploitation</w:t>
      </w:r>
      <w:r w:rsidR="00CA1ECD">
        <w:rPr>
          <w:rFonts w:ascii="Public Sans" w:hAnsi="Public Sans"/>
          <w:sz w:val="22"/>
        </w:rPr>
        <w:t xml:space="preserve"> remain appropriate. </w:t>
      </w:r>
    </w:p>
    <w:p w:rsidR="003C492D" w:rsidRDefault="003C492D" w:rsidP="00910984">
      <w:pPr>
        <w:pStyle w:val="BodyText"/>
        <w:widowControl w:val="0"/>
        <w:spacing w:before="0" w:after="0" w:line="240" w:lineRule="auto"/>
        <w:rPr>
          <w:rFonts w:ascii="Public Sans" w:hAnsi="Public Sans"/>
          <w:sz w:val="22"/>
        </w:rPr>
      </w:pPr>
    </w:p>
    <w:p w:rsidR="00DC1834" w:rsidRDefault="003C492D" w:rsidP="00910984">
      <w:pPr>
        <w:pStyle w:val="BodyText"/>
        <w:widowControl w:val="0"/>
        <w:spacing w:before="0" w:after="0" w:line="240" w:lineRule="auto"/>
        <w:rPr>
          <w:rFonts w:ascii="Public Sans" w:hAnsi="Public Sans"/>
          <w:sz w:val="22"/>
        </w:rPr>
      </w:pPr>
      <w:r>
        <w:rPr>
          <w:rFonts w:ascii="Public Sans" w:hAnsi="Public Sans"/>
          <w:sz w:val="22"/>
        </w:rPr>
        <w:t>However, g</w:t>
      </w:r>
      <w:r w:rsidR="00CA1ECD">
        <w:rPr>
          <w:rFonts w:ascii="Public Sans" w:hAnsi="Public Sans"/>
          <w:sz w:val="22"/>
        </w:rPr>
        <w:t xml:space="preserve">iven the focus on adults, there </w:t>
      </w:r>
      <w:r>
        <w:rPr>
          <w:rFonts w:ascii="Public Sans" w:hAnsi="Public Sans"/>
          <w:sz w:val="22"/>
        </w:rPr>
        <w:t>is a question</w:t>
      </w:r>
      <w:r w:rsidR="00CA1ECD">
        <w:rPr>
          <w:rFonts w:ascii="Public Sans" w:hAnsi="Public Sans"/>
          <w:sz w:val="22"/>
        </w:rPr>
        <w:t xml:space="preserve"> as to whether the notion of ‘protection’ is the right framing for the legislation</w:t>
      </w:r>
      <w:r>
        <w:rPr>
          <w:rFonts w:ascii="Public Sans" w:hAnsi="Public Sans"/>
          <w:sz w:val="22"/>
        </w:rPr>
        <w:t xml:space="preserve"> (as distinct from child protection)</w:t>
      </w:r>
      <w:r w:rsidR="00CA1ECD">
        <w:rPr>
          <w:rFonts w:ascii="Public Sans" w:hAnsi="Public Sans"/>
          <w:sz w:val="22"/>
        </w:rPr>
        <w:t xml:space="preserve">. </w:t>
      </w:r>
      <w:r>
        <w:rPr>
          <w:rFonts w:ascii="Public Sans" w:hAnsi="Public Sans"/>
          <w:sz w:val="22"/>
        </w:rPr>
        <w:t xml:space="preserve">More contemporary framing of matters relating to the prevention and response to abuse, neglect and exploitation of adults with disability and older people (and, in some jurisdictions, ‘vulnerable’ adults), refers to ‘safeguarding’ rather than protection. </w:t>
      </w:r>
      <w:r w:rsidR="00CA1ECD">
        <w:rPr>
          <w:rFonts w:ascii="Public Sans" w:hAnsi="Public Sans"/>
          <w:sz w:val="22"/>
        </w:rPr>
        <w:t xml:space="preserve">There may be benefit in considering whether to amend section 4(1)(b) to replace ‘protect’ with ‘safeguard’.  </w:t>
      </w:r>
    </w:p>
    <w:p w:rsidR="003C492D" w:rsidRDefault="003C492D" w:rsidP="00910984">
      <w:pPr>
        <w:pStyle w:val="BodyText"/>
        <w:widowControl w:val="0"/>
        <w:spacing w:before="0" w:after="0" w:line="240" w:lineRule="auto"/>
        <w:rPr>
          <w:rFonts w:ascii="Public Sans" w:hAnsi="Public Sans"/>
          <w:sz w:val="22"/>
        </w:rPr>
      </w:pPr>
    </w:p>
    <w:p w:rsidR="003C492D" w:rsidRPr="002720BD" w:rsidRDefault="00FE76BE" w:rsidP="00910984">
      <w:pPr>
        <w:pStyle w:val="Heading3"/>
        <w:keepNext w:val="0"/>
        <w:keepLines w:val="0"/>
        <w:widowControl w:val="0"/>
        <w:spacing w:before="0"/>
        <w:rPr>
          <w:rFonts w:ascii="Public Sans" w:hAnsi="Public Sans"/>
          <w:b/>
          <w:color w:val="000000" w:themeColor="text1"/>
        </w:rPr>
      </w:pPr>
      <w:r w:rsidRPr="002720BD">
        <w:rPr>
          <w:rFonts w:ascii="Public Sans" w:hAnsi="Public Sans"/>
          <w:b/>
          <w:color w:val="000000" w:themeColor="text1"/>
        </w:rPr>
        <w:t>Principles</w:t>
      </w:r>
      <w:r w:rsidR="004D739D">
        <w:rPr>
          <w:rFonts w:ascii="Public Sans" w:hAnsi="Public Sans"/>
          <w:b/>
          <w:color w:val="000000" w:themeColor="text1"/>
        </w:rPr>
        <w:t xml:space="preserve"> (section 4(2))</w:t>
      </w:r>
    </w:p>
    <w:p w:rsidR="007864CA" w:rsidRDefault="00D778F0" w:rsidP="00910984">
      <w:pPr>
        <w:pStyle w:val="BodyText"/>
        <w:widowControl w:val="0"/>
        <w:spacing w:before="0" w:after="0" w:line="240" w:lineRule="auto"/>
        <w:rPr>
          <w:rFonts w:ascii="Public Sans" w:hAnsi="Public Sans"/>
          <w:sz w:val="22"/>
        </w:rPr>
      </w:pPr>
      <w:r>
        <w:rPr>
          <w:rFonts w:ascii="Public Sans" w:hAnsi="Public Sans"/>
          <w:sz w:val="22"/>
        </w:rPr>
        <w:t>Overall, the ADC considers that the principles are appropriate. However, there would be merit in including a principle that specifically refers to the right of adults with disability and older adults to make their own decisions</w:t>
      </w:r>
      <w:r w:rsidR="00087920">
        <w:rPr>
          <w:rFonts w:ascii="Public Sans" w:hAnsi="Public Sans"/>
          <w:sz w:val="22"/>
        </w:rPr>
        <w:t xml:space="preserve">, and to receive support to make decisions </w:t>
      </w:r>
      <w:r w:rsidR="00DB0C7A">
        <w:rPr>
          <w:rFonts w:ascii="Public Sans" w:hAnsi="Public Sans"/>
          <w:sz w:val="22"/>
        </w:rPr>
        <w:t>when needed</w:t>
      </w:r>
      <w:r>
        <w:rPr>
          <w:rFonts w:ascii="Public Sans" w:hAnsi="Public Sans"/>
          <w:sz w:val="22"/>
        </w:rPr>
        <w:t>. While it may be intended to be captured under section 4(2)(d)</w:t>
      </w:r>
      <w:r w:rsidR="007477BA">
        <w:rPr>
          <w:rFonts w:ascii="Public Sans" w:hAnsi="Public Sans"/>
          <w:sz w:val="22"/>
        </w:rPr>
        <w:t xml:space="preserve"> in relation to</w:t>
      </w:r>
      <w:r>
        <w:rPr>
          <w:rFonts w:ascii="Public Sans" w:hAnsi="Public Sans"/>
          <w:sz w:val="22"/>
        </w:rPr>
        <w:t xml:space="preserve"> the right to exercise choice and control, there would </w:t>
      </w:r>
      <w:r w:rsidR="0000347B">
        <w:rPr>
          <w:rFonts w:ascii="Public Sans" w:hAnsi="Public Sans"/>
          <w:sz w:val="22"/>
        </w:rPr>
        <w:t xml:space="preserve">be </w:t>
      </w:r>
      <w:r>
        <w:rPr>
          <w:rFonts w:ascii="Public Sans" w:hAnsi="Public Sans"/>
          <w:sz w:val="22"/>
        </w:rPr>
        <w:t xml:space="preserve">merit in </w:t>
      </w:r>
      <w:r w:rsidR="007864CA">
        <w:rPr>
          <w:rFonts w:ascii="Public Sans" w:hAnsi="Public Sans"/>
          <w:sz w:val="22"/>
        </w:rPr>
        <w:t>explicitly referring to decision-making</w:t>
      </w:r>
      <w:r w:rsidR="00DB0C7A">
        <w:rPr>
          <w:rFonts w:ascii="Public Sans" w:hAnsi="Public Sans"/>
          <w:sz w:val="22"/>
        </w:rPr>
        <w:t xml:space="preserve"> and support</w:t>
      </w:r>
      <w:r w:rsidR="007864CA">
        <w:rPr>
          <w:rFonts w:ascii="Public Sans" w:hAnsi="Public Sans"/>
          <w:sz w:val="22"/>
        </w:rPr>
        <w:t xml:space="preserve">. </w:t>
      </w:r>
      <w:r w:rsidR="007842A7">
        <w:rPr>
          <w:rFonts w:ascii="Public Sans" w:hAnsi="Public Sans"/>
          <w:sz w:val="22"/>
        </w:rPr>
        <w:t xml:space="preserve">We suggest including similar text to </w:t>
      </w:r>
      <w:r w:rsidR="000019E8">
        <w:rPr>
          <w:rFonts w:ascii="Public Sans" w:hAnsi="Public Sans"/>
          <w:sz w:val="22"/>
        </w:rPr>
        <w:t>section 4(5) of</w:t>
      </w:r>
      <w:r w:rsidR="007842A7">
        <w:rPr>
          <w:rFonts w:ascii="Public Sans" w:hAnsi="Public Sans"/>
          <w:sz w:val="22"/>
        </w:rPr>
        <w:t xml:space="preserve"> the </w:t>
      </w:r>
      <w:r w:rsidR="007842A7" w:rsidRPr="007842A7">
        <w:rPr>
          <w:rFonts w:ascii="Public Sans" w:hAnsi="Public Sans"/>
          <w:i/>
          <w:sz w:val="22"/>
        </w:rPr>
        <w:t>Disability Inclusion Act 2014</w:t>
      </w:r>
      <w:r w:rsidR="001D7646">
        <w:rPr>
          <w:rFonts w:ascii="Public Sans" w:hAnsi="Public Sans"/>
          <w:sz w:val="22"/>
        </w:rPr>
        <w:t>:</w:t>
      </w:r>
    </w:p>
    <w:p w:rsidR="001D7646" w:rsidRDefault="001D7646" w:rsidP="00910984">
      <w:pPr>
        <w:pStyle w:val="BodyText"/>
        <w:widowControl w:val="0"/>
        <w:spacing w:before="0" w:after="0" w:line="240" w:lineRule="auto"/>
        <w:rPr>
          <w:rFonts w:ascii="Public Sans" w:hAnsi="Public Sans"/>
          <w:sz w:val="22"/>
        </w:rPr>
      </w:pPr>
    </w:p>
    <w:p w:rsidR="001D7646" w:rsidRDefault="00EB4E40" w:rsidP="000866C5">
      <w:pPr>
        <w:pStyle w:val="BodyText"/>
        <w:widowControl w:val="0"/>
        <w:numPr>
          <w:ilvl w:val="0"/>
          <w:numId w:val="34"/>
        </w:numPr>
        <w:spacing w:before="0" w:after="0" w:line="240" w:lineRule="auto"/>
        <w:rPr>
          <w:rFonts w:ascii="Public Sans" w:hAnsi="Public Sans"/>
          <w:sz w:val="22"/>
        </w:rPr>
      </w:pPr>
      <w:r>
        <w:rPr>
          <w:rFonts w:ascii="Public Sans" w:hAnsi="Public Sans"/>
          <w:sz w:val="22"/>
        </w:rPr>
        <w:t>A</w:t>
      </w:r>
      <w:r w:rsidR="001D7646">
        <w:rPr>
          <w:rFonts w:ascii="Public Sans" w:hAnsi="Public Sans"/>
          <w:sz w:val="22"/>
        </w:rPr>
        <w:t xml:space="preserve">dults with disability and older adults </w:t>
      </w:r>
      <w:r w:rsidR="00A410C2">
        <w:rPr>
          <w:rFonts w:ascii="Public Sans" w:hAnsi="Public Sans"/>
          <w:sz w:val="22"/>
        </w:rPr>
        <w:t xml:space="preserve">have the </w:t>
      </w:r>
      <w:r w:rsidR="007842A7">
        <w:rPr>
          <w:rFonts w:ascii="Public Sans" w:hAnsi="Public Sans"/>
          <w:sz w:val="22"/>
        </w:rPr>
        <w:t xml:space="preserve">same rights as other members of the community to make </w:t>
      </w:r>
      <w:r w:rsidR="00A410C2">
        <w:rPr>
          <w:rFonts w:ascii="Public Sans" w:hAnsi="Public Sans"/>
          <w:sz w:val="22"/>
        </w:rPr>
        <w:t xml:space="preserve">decisions </w:t>
      </w:r>
      <w:r w:rsidR="007842A7">
        <w:rPr>
          <w:rFonts w:ascii="Public Sans" w:hAnsi="Public Sans"/>
          <w:sz w:val="22"/>
        </w:rPr>
        <w:t>that affect their lives (including decisions involving risk) to the full extent of their ability to do so, and to be supported in making those decisions if they want or require support</w:t>
      </w:r>
      <w:r>
        <w:rPr>
          <w:rFonts w:ascii="Public Sans" w:hAnsi="Public Sans"/>
          <w:sz w:val="22"/>
        </w:rPr>
        <w:t>.</w:t>
      </w:r>
    </w:p>
    <w:p w:rsidR="007842A7" w:rsidRDefault="007842A7" w:rsidP="007842A7">
      <w:pPr>
        <w:pStyle w:val="BodyText"/>
        <w:widowControl w:val="0"/>
        <w:spacing w:before="0" w:after="0" w:line="240" w:lineRule="auto"/>
        <w:rPr>
          <w:rFonts w:ascii="Public Sans" w:hAnsi="Public Sans"/>
          <w:sz w:val="22"/>
        </w:rPr>
      </w:pPr>
    </w:p>
    <w:p w:rsidR="00FE76BE" w:rsidRDefault="007864CA" w:rsidP="00910984">
      <w:pPr>
        <w:pStyle w:val="BodyText"/>
        <w:widowControl w:val="0"/>
        <w:spacing w:before="0" w:after="0" w:line="240" w:lineRule="auto"/>
        <w:rPr>
          <w:rFonts w:ascii="Public Sans" w:hAnsi="Public Sans"/>
          <w:sz w:val="22"/>
        </w:rPr>
      </w:pPr>
      <w:r>
        <w:rPr>
          <w:rFonts w:ascii="Public Sans" w:hAnsi="Public Sans"/>
          <w:sz w:val="22"/>
        </w:rPr>
        <w:t xml:space="preserve">In this regard, the ADC notes that one of the consistent themes identified through its handling of reports over the past three years has been the failure of external parties (including families and service providers) to </w:t>
      </w:r>
      <w:r w:rsidR="00087920">
        <w:rPr>
          <w:rFonts w:ascii="Public Sans" w:hAnsi="Public Sans"/>
          <w:sz w:val="22"/>
        </w:rPr>
        <w:t xml:space="preserve">adequately </w:t>
      </w:r>
      <w:r>
        <w:rPr>
          <w:rFonts w:ascii="Public Sans" w:hAnsi="Public Sans"/>
          <w:sz w:val="22"/>
        </w:rPr>
        <w:t xml:space="preserve">recognise and uphold the right of the adult with disability or older person to make their own decisions, and to receive support to do so when needed. </w:t>
      </w:r>
      <w:r w:rsidR="00087920">
        <w:rPr>
          <w:rFonts w:ascii="Public Sans" w:hAnsi="Public Sans"/>
          <w:sz w:val="22"/>
        </w:rPr>
        <w:t xml:space="preserve">At times, this has included service providers that have perpetuated the abuse of the adult with disability or older person by </w:t>
      </w:r>
      <w:r w:rsidR="00DB0C7A">
        <w:rPr>
          <w:rFonts w:ascii="Public Sans" w:hAnsi="Public Sans"/>
          <w:sz w:val="22"/>
        </w:rPr>
        <w:t>defaulting to the</w:t>
      </w:r>
      <w:r w:rsidR="00087920">
        <w:rPr>
          <w:rFonts w:ascii="Public Sans" w:hAnsi="Public Sans"/>
          <w:sz w:val="22"/>
        </w:rPr>
        <w:t xml:space="preserve"> direction and </w:t>
      </w:r>
      <w:r w:rsidR="00DB0C7A">
        <w:rPr>
          <w:rFonts w:ascii="Public Sans" w:hAnsi="Public Sans"/>
          <w:sz w:val="22"/>
        </w:rPr>
        <w:t>decisions</w:t>
      </w:r>
      <w:r w:rsidR="00087920">
        <w:rPr>
          <w:rFonts w:ascii="Public Sans" w:hAnsi="Public Sans"/>
          <w:sz w:val="22"/>
        </w:rPr>
        <w:t xml:space="preserve"> </w:t>
      </w:r>
      <w:r w:rsidR="00DB0C7A">
        <w:rPr>
          <w:rFonts w:ascii="Public Sans" w:hAnsi="Public Sans"/>
          <w:sz w:val="22"/>
        </w:rPr>
        <w:t>of</w:t>
      </w:r>
      <w:r w:rsidR="00087920">
        <w:rPr>
          <w:rFonts w:ascii="Public Sans" w:hAnsi="Public Sans"/>
          <w:sz w:val="22"/>
        </w:rPr>
        <w:t xml:space="preserve"> the subject of allegation (</w:t>
      </w:r>
      <w:r w:rsidR="00DB0C7A">
        <w:rPr>
          <w:rFonts w:ascii="Public Sans" w:hAnsi="Public Sans"/>
          <w:sz w:val="22"/>
        </w:rPr>
        <w:t xml:space="preserve">typically </w:t>
      </w:r>
      <w:r w:rsidR="00087920">
        <w:rPr>
          <w:rFonts w:ascii="Public Sans" w:hAnsi="Public Sans"/>
          <w:sz w:val="22"/>
        </w:rPr>
        <w:t xml:space="preserve">a family member or spouse), despite the adult having the ability to make their own decisions/ indicate their own will and preference. </w:t>
      </w:r>
      <w:r>
        <w:rPr>
          <w:rFonts w:ascii="Public Sans" w:hAnsi="Public Sans"/>
          <w:sz w:val="22"/>
        </w:rPr>
        <w:t xml:space="preserve"> </w:t>
      </w:r>
    </w:p>
    <w:p w:rsidR="00DB0C7A" w:rsidRDefault="00DB0C7A" w:rsidP="00910984">
      <w:pPr>
        <w:pStyle w:val="BodyText"/>
        <w:widowControl w:val="0"/>
        <w:spacing w:before="0" w:after="0" w:line="240" w:lineRule="auto"/>
        <w:rPr>
          <w:rFonts w:ascii="Public Sans" w:hAnsi="Public Sans"/>
          <w:sz w:val="22"/>
        </w:rPr>
      </w:pPr>
    </w:p>
    <w:p w:rsidR="00B15444" w:rsidRDefault="00B15444" w:rsidP="00910984">
      <w:pPr>
        <w:pStyle w:val="BodyText"/>
        <w:widowControl w:val="0"/>
        <w:spacing w:before="0" w:after="0" w:line="240" w:lineRule="auto"/>
        <w:rPr>
          <w:rFonts w:ascii="Public Sans" w:hAnsi="Public Sans"/>
          <w:sz w:val="22"/>
        </w:rPr>
      </w:pPr>
    </w:p>
    <w:p w:rsidR="00DB0C7A" w:rsidRPr="002720BD" w:rsidRDefault="00DB0C7A" w:rsidP="00910984">
      <w:pPr>
        <w:pStyle w:val="Heading4"/>
        <w:keepNext w:val="0"/>
        <w:keepLines w:val="0"/>
        <w:widowControl w:val="0"/>
        <w:spacing w:before="0"/>
        <w:rPr>
          <w:rFonts w:ascii="Public Sans" w:hAnsi="Public Sans"/>
          <w:b/>
          <w:color w:val="000000" w:themeColor="text1"/>
        </w:rPr>
      </w:pPr>
      <w:r w:rsidRPr="002720BD">
        <w:rPr>
          <w:rFonts w:ascii="Public Sans" w:hAnsi="Public Sans"/>
          <w:b/>
          <w:color w:val="000000" w:themeColor="text1"/>
        </w:rPr>
        <w:lastRenderedPageBreak/>
        <w:t>Wishes of the adult</w:t>
      </w:r>
      <w:r w:rsidR="004D739D">
        <w:rPr>
          <w:rFonts w:ascii="Public Sans" w:hAnsi="Public Sans"/>
          <w:b/>
          <w:color w:val="000000" w:themeColor="text1"/>
        </w:rPr>
        <w:t xml:space="preserve"> (section 4(4))</w:t>
      </w:r>
    </w:p>
    <w:p w:rsidR="00EE52E3" w:rsidRDefault="00DB0C7A" w:rsidP="00910984">
      <w:pPr>
        <w:pStyle w:val="BodyText"/>
        <w:widowControl w:val="0"/>
        <w:spacing w:before="0" w:after="0" w:line="240" w:lineRule="auto"/>
        <w:rPr>
          <w:rFonts w:ascii="Public Sans" w:hAnsi="Public Sans"/>
          <w:sz w:val="22"/>
        </w:rPr>
      </w:pPr>
      <w:r>
        <w:rPr>
          <w:rFonts w:ascii="Public Sans" w:hAnsi="Public Sans"/>
          <w:sz w:val="22"/>
        </w:rPr>
        <w:t xml:space="preserve">The inclusion of section 4(4) in the principles of the Act has been important in the work of the ADC. However, </w:t>
      </w:r>
      <w:r w:rsidR="008F0F84">
        <w:rPr>
          <w:rFonts w:ascii="Public Sans" w:hAnsi="Public Sans"/>
          <w:sz w:val="22"/>
        </w:rPr>
        <w:t xml:space="preserve">we note that contemporary </w:t>
      </w:r>
      <w:r w:rsidR="00D710B7">
        <w:rPr>
          <w:rFonts w:ascii="Public Sans" w:hAnsi="Public Sans"/>
          <w:sz w:val="22"/>
        </w:rPr>
        <w:t>approaches</w:t>
      </w:r>
      <w:r w:rsidR="008F0F84">
        <w:rPr>
          <w:rFonts w:ascii="Public Sans" w:hAnsi="Public Sans"/>
          <w:sz w:val="22"/>
        </w:rPr>
        <w:t xml:space="preserve"> in relation to adult decision-making focus on ‘will and preference’. </w:t>
      </w:r>
    </w:p>
    <w:p w:rsidR="00EE52E3" w:rsidRDefault="00EE52E3" w:rsidP="00910984">
      <w:pPr>
        <w:pStyle w:val="BodyText"/>
        <w:widowControl w:val="0"/>
        <w:spacing w:before="0" w:after="0" w:line="240" w:lineRule="auto"/>
        <w:rPr>
          <w:rFonts w:ascii="Public Sans" w:hAnsi="Public Sans"/>
          <w:sz w:val="22"/>
        </w:rPr>
      </w:pPr>
    </w:p>
    <w:p w:rsidR="00DB0C7A" w:rsidRDefault="00EE52E3" w:rsidP="00910984">
      <w:pPr>
        <w:pStyle w:val="BodyText"/>
        <w:widowControl w:val="0"/>
        <w:spacing w:before="0" w:after="0" w:line="240" w:lineRule="auto"/>
        <w:rPr>
          <w:rFonts w:ascii="Public Sans" w:hAnsi="Public Sans"/>
          <w:sz w:val="22"/>
        </w:rPr>
      </w:pPr>
      <w:r>
        <w:rPr>
          <w:rFonts w:ascii="Public Sans" w:hAnsi="Public Sans"/>
          <w:sz w:val="22"/>
        </w:rPr>
        <w:t>Notwithstanding the fact that the Act does not refer to ‘will and preference’, i</w:t>
      </w:r>
      <w:r w:rsidR="008F0F84">
        <w:rPr>
          <w:rFonts w:ascii="Public Sans" w:hAnsi="Public Sans"/>
          <w:sz w:val="22"/>
        </w:rPr>
        <w:t>n practice the ADC focuses on understanding the w</w:t>
      </w:r>
      <w:r>
        <w:rPr>
          <w:rFonts w:ascii="Public Sans" w:hAnsi="Public Sans"/>
          <w:sz w:val="22"/>
        </w:rPr>
        <w:t>ill and preference of the adult</w:t>
      </w:r>
      <w:r w:rsidR="00D710B7">
        <w:rPr>
          <w:rFonts w:ascii="Public Sans" w:hAnsi="Public Sans"/>
          <w:sz w:val="22"/>
        </w:rPr>
        <w:t>,</w:t>
      </w:r>
      <w:r w:rsidR="008F0F84">
        <w:rPr>
          <w:rFonts w:ascii="Public Sans" w:hAnsi="Public Sans"/>
          <w:sz w:val="22"/>
        </w:rPr>
        <w:t xml:space="preserve"> and we regularly report on the proportion of reports in which we have ascertained and/or upheld the </w:t>
      </w:r>
      <w:r>
        <w:rPr>
          <w:rFonts w:ascii="Public Sans" w:hAnsi="Public Sans"/>
          <w:sz w:val="22"/>
        </w:rPr>
        <w:t xml:space="preserve">adult’s </w:t>
      </w:r>
      <w:r w:rsidR="008F0F84">
        <w:rPr>
          <w:rFonts w:ascii="Public Sans" w:hAnsi="Public Sans"/>
          <w:sz w:val="22"/>
        </w:rPr>
        <w:t xml:space="preserve">will and preference. </w:t>
      </w:r>
      <w:r>
        <w:rPr>
          <w:rFonts w:ascii="Public Sans" w:hAnsi="Public Sans"/>
          <w:sz w:val="22"/>
        </w:rPr>
        <w:t xml:space="preserve">To bring the legislation </w:t>
      </w:r>
      <w:r w:rsidR="002A72F4">
        <w:rPr>
          <w:rFonts w:ascii="Public Sans" w:hAnsi="Public Sans"/>
          <w:sz w:val="22"/>
        </w:rPr>
        <w:t xml:space="preserve">more </w:t>
      </w:r>
      <w:r>
        <w:rPr>
          <w:rFonts w:ascii="Public Sans" w:hAnsi="Public Sans"/>
          <w:sz w:val="22"/>
        </w:rPr>
        <w:t xml:space="preserve">in line with contemporary approaches and the current practice of the ADC, we </w:t>
      </w:r>
      <w:r w:rsidR="003E4FD9">
        <w:rPr>
          <w:rFonts w:ascii="Public Sans" w:hAnsi="Public Sans"/>
          <w:sz w:val="22"/>
        </w:rPr>
        <w:t xml:space="preserve">consider there would be merit in amending section 4(4) to state that parties must have regard to the will and preference of the adult. </w:t>
      </w:r>
    </w:p>
    <w:p w:rsidR="003E4FD9" w:rsidRDefault="003E4FD9" w:rsidP="00910984">
      <w:pPr>
        <w:pStyle w:val="BodyText"/>
        <w:widowControl w:val="0"/>
        <w:spacing w:before="0" w:after="0" w:line="240" w:lineRule="auto"/>
        <w:rPr>
          <w:rFonts w:ascii="Public Sans" w:hAnsi="Public Sans"/>
          <w:sz w:val="22"/>
        </w:rPr>
      </w:pPr>
    </w:p>
    <w:p w:rsidR="003E4FD9" w:rsidRPr="002A72F4" w:rsidRDefault="004B5914" w:rsidP="00910984">
      <w:pPr>
        <w:pStyle w:val="Heading2"/>
        <w:keepNext w:val="0"/>
        <w:keepLines w:val="0"/>
        <w:widowControl w:val="0"/>
        <w:rPr>
          <w:rFonts w:ascii="Public Sans" w:hAnsi="Public Sans"/>
          <w:b/>
          <w:color w:val="000000" w:themeColor="text1"/>
        </w:rPr>
      </w:pPr>
      <w:r>
        <w:rPr>
          <w:rFonts w:ascii="Public Sans" w:hAnsi="Public Sans"/>
          <w:b/>
          <w:color w:val="000000" w:themeColor="text1"/>
        </w:rPr>
        <w:t xml:space="preserve">Part 2 – </w:t>
      </w:r>
      <w:r w:rsidR="002720BD">
        <w:rPr>
          <w:rFonts w:ascii="Public Sans" w:hAnsi="Public Sans"/>
          <w:b/>
          <w:color w:val="000000" w:themeColor="text1"/>
        </w:rPr>
        <w:t xml:space="preserve">Appointment of </w:t>
      </w:r>
      <w:r w:rsidR="002A72F4" w:rsidRPr="002A72F4">
        <w:rPr>
          <w:rFonts w:ascii="Public Sans" w:hAnsi="Public Sans"/>
          <w:b/>
          <w:color w:val="000000" w:themeColor="text1"/>
        </w:rPr>
        <w:t>Commissioner</w:t>
      </w:r>
    </w:p>
    <w:p w:rsidR="002A72F4" w:rsidRDefault="00231968" w:rsidP="00910984">
      <w:pPr>
        <w:pStyle w:val="BodyText"/>
        <w:widowControl w:val="0"/>
        <w:spacing w:before="0" w:after="0" w:line="240" w:lineRule="auto"/>
        <w:rPr>
          <w:rFonts w:ascii="Public Sans" w:hAnsi="Public Sans"/>
          <w:sz w:val="22"/>
        </w:rPr>
      </w:pPr>
      <w:r>
        <w:rPr>
          <w:rFonts w:ascii="Public Sans" w:hAnsi="Public Sans"/>
          <w:sz w:val="22"/>
        </w:rPr>
        <w:t xml:space="preserve">The ADC considers that the provisions relating to the </w:t>
      </w:r>
      <w:r w:rsidR="003A7504">
        <w:rPr>
          <w:rFonts w:ascii="Public Sans" w:hAnsi="Public Sans"/>
          <w:sz w:val="22"/>
        </w:rPr>
        <w:t xml:space="preserve">appointment process and status of the Commissioner are appropriate. </w:t>
      </w:r>
    </w:p>
    <w:p w:rsidR="00335237" w:rsidRDefault="00335237" w:rsidP="00910984">
      <w:pPr>
        <w:pStyle w:val="BodyText"/>
        <w:widowControl w:val="0"/>
        <w:spacing w:before="0" w:after="0" w:line="240" w:lineRule="auto"/>
        <w:rPr>
          <w:rFonts w:ascii="Public Sans" w:hAnsi="Public Sans"/>
          <w:sz w:val="22"/>
        </w:rPr>
      </w:pPr>
    </w:p>
    <w:p w:rsidR="00335237" w:rsidRPr="00335237" w:rsidRDefault="002720BD" w:rsidP="00910984">
      <w:pPr>
        <w:pStyle w:val="Heading2"/>
        <w:keepNext w:val="0"/>
        <w:keepLines w:val="0"/>
        <w:widowControl w:val="0"/>
        <w:spacing w:before="0" w:after="240"/>
        <w:rPr>
          <w:rFonts w:ascii="Public Sans" w:hAnsi="Public Sans"/>
          <w:b/>
          <w:color w:val="000000" w:themeColor="text1"/>
        </w:rPr>
      </w:pPr>
      <w:r>
        <w:rPr>
          <w:rFonts w:ascii="Public Sans" w:hAnsi="Public Sans"/>
          <w:b/>
          <w:color w:val="000000" w:themeColor="text1"/>
        </w:rPr>
        <w:t xml:space="preserve">Part 3 – Functions of </w:t>
      </w:r>
      <w:r w:rsidR="00335237" w:rsidRPr="00335237">
        <w:rPr>
          <w:rFonts w:ascii="Public Sans" w:hAnsi="Public Sans"/>
          <w:b/>
          <w:color w:val="000000" w:themeColor="text1"/>
        </w:rPr>
        <w:t>Commissioner</w:t>
      </w:r>
    </w:p>
    <w:p w:rsidR="00D67725" w:rsidRPr="002720BD" w:rsidRDefault="00D67725" w:rsidP="00910984">
      <w:pPr>
        <w:pStyle w:val="Heading3"/>
        <w:keepNext w:val="0"/>
        <w:keepLines w:val="0"/>
        <w:widowControl w:val="0"/>
        <w:spacing w:after="240"/>
        <w:rPr>
          <w:rFonts w:ascii="Public Sans" w:hAnsi="Public Sans"/>
          <w:b/>
          <w:color w:val="000000" w:themeColor="text1"/>
        </w:rPr>
      </w:pPr>
      <w:r w:rsidRPr="002720BD">
        <w:rPr>
          <w:rFonts w:ascii="Public Sans" w:hAnsi="Public Sans"/>
          <w:b/>
          <w:color w:val="000000" w:themeColor="text1"/>
        </w:rPr>
        <w:t>Division 1 – General functions</w:t>
      </w:r>
    </w:p>
    <w:p w:rsidR="00B86B7C" w:rsidRPr="00B86B7C" w:rsidRDefault="00B86B7C" w:rsidP="00910984">
      <w:pPr>
        <w:pStyle w:val="Heading4"/>
        <w:keepNext w:val="0"/>
        <w:keepLines w:val="0"/>
        <w:widowControl w:val="0"/>
        <w:rPr>
          <w:rFonts w:ascii="Public Sans" w:hAnsi="Public Sans"/>
          <w:b/>
          <w:color w:val="000000" w:themeColor="text1"/>
        </w:rPr>
      </w:pPr>
      <w:r w:rsidRPr="00B86B7C">
        <w:rPr>
          <w:rFonts w:ascii="Public Sans" w:hAnsi="Public Sans"/>
          <w:b/>
          <w:color w:val="000000" w:themeColor="text1"/>
        </w:rPr>
        <w:t xml:space="preserve">Functions </w:t>
      </w:r>
      <w:r w:rsidR="004D739D">
        <w:rPr>
          <w:rFonts w:ascii="Public Sans" w:hAnsi="Public Sans"/>
          <w:b/>
          <w:color w:val="000000" w:themeColor="text1"/>
        </w:rPr>
        <w:t>(section 12)</w:t>
      </w:r>
    </w:p>
    <w:p w:rsidR="00460553" w:rsidRDefault="004B5914" w:rsidP="00910984">
      <w:pPr>
        <w:pStyle w:val="BodyText"/>
        <w:widowControl w:val="0"/>
        <w:spacing w:before="0" w:after="0" w:line="240" w:lineRule="auto"/>
        <w:rPr>
          <w:rFonts w:ascii="Public Sans" w:hAnsi="Public Sans"/>
          <w:sz w:val="22"/>
        </w:rPr>
      </w:pPr>
      <w:r>
        <w:rPr>
          <w:rFonts w:ascii="Public Sans" w:hAnsi="Public Sans"/>
          <w:sz w:val="22"/>
        </w:rPr>
        <w:t xml:space="preserve">In our view, the functions of the Commissioner are </w:t>
      </w:r>
      <w:r w:rsidR="002720BD">
        <w:rPr>
          <w:rFonts w:ascii="Public Sans" w:hAnsi="Public Sans"/>
          <w:sz w:val="22"/>
        </w:rPr>
        <w:t>generally suitable</w:t>
      </w:r>
      <w:r>
        <w:rPr>
          <w:rFonts w:ascii="Public Sans" w:hAnsi="Public Sans"/>
          <w:sz w:val="22"/>
        </w:rPr>
        <w:t xml:space="preserve"> to achieve the objectives of the Act, and communicate the breadth of the work of the ADC </w:t>
      </w:r>
      <w:r w:rsidR="002720BD">
        <w:rPr>
          <w:rFonts w:ascii="Public Sans" w:hAnsi="Public Sans"/>
          <w:sz w:val="22"/>
        </w:rPr>
        <w:t xml:space="preserve">– </w:t>
      </w:r>
      <w:r w:rsidR="00460553">
        <w:rPr>
          <w:rFonts w:ascii="Public Sans" w:hAnsi="Public Sans"/>
          <w:sz w:val="22"/>
        </w:rPr>
        <w:t xml:space="preserve">incorporating activities to enable change and improvements at individual, community and systemic levels. </w:t>
      </w:r>
      <w:r w:rsidR="008D4E1D">
        <w:rPr>
          <w:rFonts w:ascii="Public Sans" w:hAnsi="Public Sans"/>
          <w:sz w:val="22"/>
        </w:rPr>
        <w:t>However, there are a few a</w:t>
      </w:r>
      <w:r w:rsidR="00195F78">
        <w:rPr>
          <w:rFonts w:ascii="Public Sans" w:hAnsi="Public Sans"/>
          <w:sz w:val="22"/>
        </w:rPr>
        <w:t>reas</w:t>
      </w:r>
      <w:r w:rsidR="008D4E1D">
        <w:rPr>
          <w:rFonts w:ascii="Public Sans" w:hAnsi="Public Sans"/>
          <w:sz w:val="22"/>
        </w:rPr>
        <w:t xml:space="preserve"> that we believe warrant consideration for inclusion:</w:t>
      </w:r>
    </w:p>
    <w:p w:rsidR="008D4E1D" w:rsidRDefault="008D4E1D" w:rsidP="00910984">
      <w:pPr>
        <w:pStyle w:val="BodyText"/>
        <w:widowControl w:val="0"/>
        <w:spacing w:before="0" w:after="0" w:line="240" w:lineRule="auto"/>
        <w:rPr>
          <w:rFonts w:ascii="Public Sans" w:hAnsi="Public Sans"/>
          <w:sz w:val="22"/>
        </w:rPr>
      </w:pPr>
    </w:p>
    <w:p w:rsidR="0036560E" w:rsidRPr="006B499C" w:rsidRDefault="00221260" w:rsidP="00910984">
      <w:pPr>
        <w:pStyle w:val="Heading5"/>
        <w:keepNext w:val="0"/>
        <w:keepLines w:val="0"/>
        <w:widowControl w:val="0"/>
        <w:rPr>
          <w:rFonts w:ascii="Public Sans" w:hAnsi="Public Sans"/>
          <w:b/>
          <w:color w:val="auto"/>
          <w:sz w:val="22"/>
        </w:rPr>
      </w:pPr>
      <w:r w:rsidRPr="006B499C">
        <w:rPr>
          <w:rFonts w:ascii="Public Sans" w:hAnsi="Public Sans"/>
          <w:b/>
          <w:color w:val="auto"/>
          <w:sz w:val="22"/>
        </w:rPr>
        <w:t>Monitoring, assessing and reporting on n</w:t>
      </w:r>
      <w:r w:rsidR="0036560E" w:rsidRPr="006B499C">
        <w:rPr>
          <w:rFonts w:ascii="Public Sans" w:hAnsi="Public Sans"/>
          <w:b/>
          <w:color w:val="auto"/>
          <w:sz w:val="22"/>
        </w:rPr>
        <w:t xml:space="preserve">ational </w:t>
      </w:r>
      <w:r w:rsidRPr="006B499C">
        <w:rPr>
          <w:rFonts w:ascii="Public Sans" w:hAnsi="Public Sans"/>
          <w:b/>
          <w:color w:val="auto"/>
          <w:sz w:val="22"/>
        </w:rPr>
        <w:t>plans</w:t>
      </w:r>
    </w:p>
    <w:p w:rsidR="0036560E" w:rsidRDefault="0036560E" w:rsidP="00910984">
      <w:pPr>
        <w:pStyle w:val="BodyText"/>
        <w:widowControl w:val="0"/>
        <w:spacing w:before="0" w:after="0" w:line="240" w:lineRule="auto"/>
        <w:rPr>
          <w:rFonts w:ascii="Public Sans" w:hAnsi="Public Sans"/>
          <w:sz w:val="22"/>
        </w:rPr>
      </w:pPr>
      <w:r>
        <w:rPr>
          <w:rFonts w:ascii="Public Sans" w:hAnsi="Public Sans"/>
          <w:sz w:val="22"/>
        </w:rPr>
        <w:t xml:space="preserve">Section </w:t>
      </w:r>
      <w:r w:rsidR="00221260">
        <w:rPr>
          <w:rFonts w:ascii="Public Sans" w:hAnsi="Public Sans"/>
          <w:sz w:val="22"/>
        </w:rPr>
        <w:t>12(1)(h) provides for the ADC to monitor, assess and report on the NSW implementation of the National Disability Strategy (NDS). Th</w:t>
      </w:r>
      <w:r w:rsidR="00300289">
        <w:rPr>
          <w:rFonts w:ascii="Public Sans" w:hAnsi="Public Sans"/>
          <w:sz w:val="22"/>
        </w:rPr>
        <w:t xml:space="preserve">is </w:t>
      </w:r>
      <w:r w:rsidR="00221260">
        <w:rPr>
          <w:rFonts w:ascii="Public Sans" w:hAnsi="Public Sans"/>
          <w:sz w:val="22"/>
        </w:rPr>
        <w:t xml:space="preserve">strategy was a 10-year plan, </w:t>
      </w:r>
      <w:r w:rsidR="00300289">
        <w:rPr>
          <w:rFonts w:ascii="Public Sans" w:hAnsi="Public Sans"/>
          <w:sz w:val="22"/>
        </w:rPr>
        <w:t xml:space="preserve">covering </w:t>
      </w:r>
      <w:r w:rsidR="00221260">
        <w:rPr>
          <w:rFonts w:ascii="Public Sans" w:hAnsi="Public Sans"/>
          <w:sz w:val="22"/>
        </w:rPr>
        <w:t xml:space="preserve">2010-2020. The NDS was replaced in 2021 by a new 10-year plan, titled Australia’s Disability Strategy (ADS). </w:t>
      </w:r>
      <w:r w:rsidR="00D710B7">
        <w:rPr>
          <w:rFonts w:ascii="Public Sans" w:hAnsi="Public Sans"/>
          <w:sz w:val="22"/>
        </w:rPr>
        <w:t xml:space="preserve">Out of </w:t>
      </w:r>
      <w:r w:rsidR="00221260">
        <w:rPr>
          <w:rFonts w:ascii="Public Sans" w:hAnsi="Public Sans"/>
          <w:sz w:val="22"/>
        </w:rPr>
        <w:t xml:space="preserve">an abundance of caution, there may be merit in </w:t>
      </w:r>
      <w:r w:rsidR="00300289">
        <w:rPr>
          <w:rFonts w:ascii="Public Sans" w:hAnsi="Public Sans"/>
          <w:sz w:val="22"/>
        </w:rPr>
        <w:t>amending the Act to refer to the ADS instead of the NDS</w:t>
      </w:r>
      <w:r w:rsidR="00F738B2">
        <w:rPr>
          <w:rFonts w:ascii="Public Sans" w:hAnsi="Public Sans"/>
          <w:sz w:val="22"/>
        </w:rPr>
        <w:t>, or to identify in the definitions in section 3 that references to the NDS also refer to the AD</w:t>
      </w:r>
      <w:r w:rsidR="00D710B7">
        <w:rPr>
          <w:rFonts w:ascii="Public Sans" w:hAnsi="Public Sans"/>
          <w:sz w:val="22"/>
        </w:rPr>
        <w:t>S</w:t>
      </w:r>
      <w:r w:rsidR="00F738B2">
        <w:rPr>
          <w:rFonts w:ascii="Public Sans" w:hAnsi="Public Sans"/>
          <w:sz w:val="22"/>
        </w:rPr>
        <w:t xml:space="preserve"> and any subsequent equivalent national strategy</w:t>
      </w:r>
      <w:r w:rsidR="00300289">
        <w:rPr>
          <w:rFonts w:ascii="Public Sans" w:hAnsi="Public Sans"/>
          <w:sz w:val="22"/>
        </w:rPr>
        <w:t xml:space="preserve">. </w:t>
      </w:r>
    </w:p>
    <w:p w:rsidR="0036560E" w:rsidRDefault="0036560E" w:rsidP="00910984">
      <w:pPr>
        <w:pStyle w:val="BodyText"/>
        <w:widowControl w:val="0"/>
        <w:spacing w:before="0" w:after="0" w:line="240" w:lineRule="auto"/>
        <w:rPr>
          <w:rFonts w:ascii="Public Sans" w:hAnsi="Public Sans"/>
          <w:sz w:val="22"/>
        </w:rPr>
      </w:pPr>
    </w:p>
    <w:p w:rsidR="00300289" w:rsidRDefault="00300289" w:rsidP="00910984">
      <w:pPr>
        <w:pStyle w:val="BodyText"/>
        <w:widowControl w:val="0"/>
        <w:spacing w:before="0" w:after="0" w:line="240" w:lineRule="auto"/>
        <w:rPr>
          <w:rFonts w:ascii="Public Sans" w:hAnsi="Public Sans"/>
          <w:sz w:val="22"/>
        </w:rPr>
      </w:pPr>
      <w:r>
        <w:rPr>
          <w:rFonts w:ascii="Public Sans" w:hAnsi="Public Sans"/>
          <w:sz w:val="22"/>
        </w:rPr>
        <w:t xml:space="preserve">Noting that the ADC has the dual focus cohorts of adults with disability and older people, there </w:t>
      </w:r>
      <w:r w:rsidR="006D5C53">
        <w:rPr>
          <w:rFonts w:ascii="Public Sans" w:hAnsi="Public Sans"/>
          <w:sz w:val="22"/>
        </w:rPr>
        <w:t>may</w:t>
      </w:r>
      <w:r>
        <w:rPr>
          <w:rFonts w:ascii="Public Sans" w:hAnsi="Public Sans"/>
          <w:sz w:val="22"/>
        </w:rPr>
        <w:t xml:space="preserve"> be benefit in considering the inclu</w:t>
      </w:r>
      <w:r w:rsidR="006D5C53">
        <w:rPr>
          <w:rFonts w:ascii="Public Sans" w:hAnsi="Public Sans"/>
          <w:sz w:val="22"/>
        </w:rPr>
        <w:t xml:space="preserve">sion in the Act of </w:t>
      </w:r>
      <w:r>
        <w:rPr>
          <w:rFonts w:ascii="Public Sans" w:hAnsi="Public Sans"/>
          <w:sz w:val="22"/>
        </w:rPr>
        <w:t xml:space="preserve">a similar function in relation to the National Plan to Respond to the Abuse of Older Australians. </w:t>
      </w:r>
      <w:r w:rsidR="00B36554">
        <w:rPr>
          <w:rFonts w:ascii="Public Sans" w:hAnsi="Public Sans"/>
          <w:sz w:val="22"/>
        </w:rPr>
        <w:t xml:space="preserve">That is, to monitor, assess and report on the NSW implementation of the national plan. </w:t>
      </w:r>
      <w:r w:rsidR="00BE5B34">
        <w:rPr>
          <w:rFonts w:ascii="Public Sans" w:hAnsi="Public Sans"/>
          <w:sz w:val="22"/>
        </w:rPr>
        <w:t>However, a</w:t>
      </w:r>
      <w:r w:rsidR="004A2836">
        <w:rPr>
          <w:rFonts w:ascii="Public Sans" w:hAnsi="Public Sans"/>
          <w:sz w:val="22"/>
        </w:rPr>
        <w:t xml:space="preserve">s the current </w:t>
      </w:r>
      <w:r w:rsidR="00B36554">
        <w:rPr>
          <w:rFonts w:ascii="Public Sans" w:hAnsi="Public Sans"/>
          <w:sz w:val="22"/>
        </w:rPr>
        <w:t>national plan ends in 2023, it</w:t>
      </w:r>
      <w:r w:rsidR="004A2836">
        <w:rPr>
          <w:rFonts w:ascii="Public Sans" w:hAnsi="Public Sans"/>
          <w:sz w:val="22"/>
        </w:rPr>
        <w:t xml:space="preserve"> would be advisable </w:t>
      </w:r>
      <w:r w:rsidR="00BE5B34">
        <w:rPr>
          <w:rFonts w:ascii="Public Sans" w:hAnsi="Public Sans"/>
          <w:sz w:val="22"/>
        </w:rPr>
        <w:t>for the function to apply to</w:t>
      </w:r>
      <w:r w:rsidR="004A2836">
        <w:rPr>
          <w:rFonts w:ascii="Public Sans" w:hAnsi="Public Sans"/>
          <w:sz w:val="22"/>
        </w:rPr>
        <w:t xml:space="preserve"> the next plan</w:t>
      </w:r>
      <w:r w:rsidR="00CD23CA">
        <w:rPr>
          <w:rFonts w:ascii="Public Sans" w:hAnsi="Public Sans"/>
          <w:sz w:val="22"/>
        </w:rPr>
        <w:t xml:space="preserve"> and any subsequent equivalent national plan</w:t>
      </w:r>
      <w:r w:rsidR="004A2836">
        <w:rPr>
          <w:rFonts w:ascii="Public Sans" w:hAnsi="Public Sans"/>
          <w:sz w:val="22"/>
        </w:rPr>
        <w:t>.</w:t>
      </w:r>
      <w:r w:rsidR="00B36554">
        <w:rPr>
          <w:rFonts w:ascii="Public Sans" w:hAnsi="Public Sans"/>
          <w:sz w:val="22"/>
        </w:rPr>
        <w:t xml:space="preserve"> </w:t>
      </w:r>
    </w:p>
    <w:p w:rsidR="009446B0" w:rsidRDefault="009446B0" w:rsidP="00910984">
      <w:pPr>
        <w:pStyle w:val="BodyText"/>
        <w:widowControl w:val="0"/>
        <w:spacing w:before="0" w:after="0" w:line="240" w:lineRule="auto"/>
        <w:rPr>
          <w:rFonts w:ascii="Public Sans" w:hAnsi="Public Sans"/>
          <w:sz w:val="22"/>
        </w:rPr>
      </w:pPr>
    </w:p>
    <w:p w:rsidR="00DF5F00" w:rsidRPr="006B499C" w:rsidRDefault="006B499C" w:rsidP="00910984">
      <w:pPr>
        <w:pStyle w:val="Heading5"/>
        <w:keepNext w:val="0"/>
        <w:keepLines w:val="0"/>
        <w:widowControl w:val="0"/>
        <w:spacing w:before="0"/>
        <w:rPr>
          <w:rFonts w:ascii="Public Sans" w:hAnsi="Public Sans"/>
          <w:b/>
          <w:color w:val="auto"/>
          <w:sz w:val="22"/>
        </w:rPr>
      </w:pPr>
      <w:r w:rsidRPr="006B499C">
        <w:rPr>
          <w:rFonts w:ascii="Public Sans" w:hAnsi="Public Sans"/>
          <w:b/>
          <w:color w:val="auto"/>
          <w:sz w:val="22"/>
        </w:rPr>
        <w:t>Additional options for dealing with allegations and taking actions after investigations</w:t>
      </w:r>
    </w:p>
    <w:p w:rsidR="00D950CB" w:rsidRDefault="00D950CB" w:rsidP="00910984">
      <w:pPr>
        <w:pStyle w:val="BodyText"/>
        <w:widowControl w:val="0"/>
        <w:spacing w:before="0" w:after="0" w:line="240" w:lineRule="auto"/>
        <w:rPr>
          <w:rFonts w:ascii="Public Sans" w:hAnsi="Public Sans"/>
          <w:sz w:val="22"/>
        </w:rPr>
      </w:pPr>
      <w:r>
        <w:rPr>
          <w:rFonts w:ascii="Public Sans" w:hAnsi="Public Sans"/>
          <w:sz w:val="22"/>
        </w:rPr>
        <w:t xml:space="preserve">The </w:t>
      </w:r>
      <w:r w:rsidR="00A0544A">
        <w:rPr>
          <w:rFonts w:ascii="Public Sans" w:hAnsi="Public Sans"/>
          <w:sz w:val="22"/>
        </w:rPr>
        <w:t>following</w:t>
      </w:r>
      <w:r>
        <w:rPr>
          <w:rFonts w:ascii="Public Sans" w:hAnsi="Public Sans"/>
          <w:sz w:val="22"/>
        </w:rPr>
        <w:t xml:space="preserve"> two pages include information about ways in which the ADC does, or </w:t>
      </w:r>
      <w:r w:rsidR="00D710B7">
        <w:rPr>
          <w:rFonts w:ascii="Public Sans" w:hAnsi="Public Sans"/>
          <w:sz w:val="22"/>
        </w:rPr>
        <w:t>is looking</w:t>
      </w:r>
      <w:r>
        <w:rPr>
          <w:rFonts w:ascii="Public Sans" w:hAnsi="Public Sans"/>
          <w:sz w:val="22"/>
        </w:rPr>
        <w:t xml:space="preserve"> to, respond to reports about abuse, neglect and exploitation of adults with disability and older people – including early case coordination; community supports; conciliation; and enforceable undertakings. There would be merit in considering whether section</w:t>
      </w:r>
      <w:r w:rsidR="00D14C9C">
        <w:rPr>
          <w:rFonts w:ascii="Public Sans" w:hAnsi="Public Sans"/>
          <w:sz w:val="22"/>
        </w:rPr>
        <w:t>s</w:t>
      </w:r>
      <w:r>
        <w:rPr>
          <w:rFonts w:ascii="Public Sans" w:hAnsi="Public Sans"/>
          <w:sz w:val="22"/>
        </w:rPr>
        <w:t xml:space="preserve"> 12</w:t>
      </w:r>
      <w:r w:rsidR="00DC5820">
        <w:rPr>
          <w:rFonts w:ascii="Public Sans" w:hAnsi="Public Sans"/>
          <w:sz w:val="22"/>
        </w:rPr>
        <w:t>(1)(a) or (b)</w:t>
      </w:r>
      <w:r>
        <w:rPr>
          <w:rFonts w:ascii="Public Sans" w:hAnsi="Public Sans"/>
          <w:sz w:val="22"/>
        </w:rPr>
        <w:t xml:space="preserve"> should be amended to include these options.</w:t>
      </w:r>
    </w:p>
    <w:p w:rsidR="00910984" w:rsidRDefault="00910984" w:rsidP="00910984">
      <w:pPr>
        <w:pStyle w:val="BodyText"/>
        <w:widowControl w:val="0"/>
        <w:spacing w:before="0" w:after="0" w:line="240" w:lineRule="auto"/>
        <w:rPr>
          <w:rFonts w:ascii="Public Sans" w:hAnsi="Public Sans"/>
          <w:sz w:val="22"/>
        </w:rPr>
      </w:pPr>
    </w:p>
    <w:p w:rsidR="00B15444" w:rsidRDefault="00B15444" w:rsidP="00910984">
      <w:pPr>
        <w:pStyle w:val="BodyText"/>
        <w:widowControl w:val="0"/>
        <w:spacing w:before="0" w:after="0" w:line="240" w:lineRule="auto"/>
        <w:rPr>
          <w:rFonts w:ascii="Public Sans" w:hAnsi="Public Sans"/>
          <w:sz w:val="22"/>
        </w:rPr>
      </w:pPr>
    </w:p>
    <w:p w:rsidR="00B15444" w:rsidRDefault="00B15444" w:rsidP="00910984">
      <w:pPr>
        <w:pStyle w:val="BodyText"/>
        <w:widowControl w:val="0"/>
        <w:spacing w:before="0" w:after="0" w:line="240" w:lineRule="auto"/>
        <w:rPr>
          <w:rFonts w:ascii="Public Sans" w:hAnsi="Public Sans"/>
          <w:sz w:val="22"/>
        </w:rPr>
      </w:pPr>
    </w:p>
    <w:p w:rsidR="00D67725" w:rsidRPr="00B86B7C" w:rsidRDefault="00B86B7C" w:rsidP="00910984">
      <w:pPr>
        <w:pStyle w:val="Heading4"/>
        <w:keepNext w:val="0"/>
        <w:keepLines w:val="0"/>
        <w:widowControl w:val="0"/>
        <w:spacing w:after="240"/>
        <w:rPr>
          <w:rFonts w:ascii="Public Sans" w:hAnsi="Public Sans"/>
          <w:b/>
          <w:color w:val="000000" w:themeColor="text1"/>
        </w:rPr>
      </w:pPr>
      <w:r w:rsidRPr="00B86B7C">
        <w:rPr>
          <w:rFonts w:ascii="Public Sans" w:hAnsi="Public Sans"/>
          <w:b/>
          <w:color w:val="000000" w:themeColor="text1"/>
        </w:rPr>
        <w:lastRenderedPageBreak/>
        <w:t xml:space="preserve">Reports </w:t>
      </w:r>
      <w:r>
        <w:rPr>
          <w:rFonts w:ascii="Public Sans" w:hAnsi="Public Sans"/>
          <w:b/>
          <w:color w:val="000000" w:themeColor="text1"/>
        </w:rPr>
        <w:t>to the ADC</w:t>
      </w:r>
      <w:r w:rsidR="004D739D">
        <w:rPr>
          <w:rFonts w:ascii="Public Sans" w:hAnsi="Public Sans"/>
          <w:b/>
          <w:color w:val="000000" w:themeColor="text1"/>
        </w:rPr>
        <w:t xml:space="preserve"> (section 13)</w:t>
      </w:r>
    </w:p>
    <w:p w:rsidR="00F96D5C" w:rsidRPr="00F96D5C" w:rsidRDefault="00F96D5C" w:rsidP="00910984">
      <w:pPr>
        <w:pStyle w:val="Heading5"/>
        <w:keepNext w:val="0"/>
        <w:keepLines w:val="0"/>
        <w:widowControl w:val="0"/>
        <w:spacing w:after="240"/>
        <w:rPr>
          <w:rFonts w:ascii="Public Sans" w:hAnsi="Public Sans"/>
          <w:b/>
          <w:color w:val="auto"/>
          <w:sz w:val="22"/>
        </w:rPr>
      </w:pPr>
      <w:r w:rsidRPr="00F96D5C">
        <w:rPr>
          <w:rFonts w:ascii="Public Sans" w:hAnsi="Public Sans"/>
          <w:b/>
          <w:color w:val="auto"/>
          <w:sz w:val="22"/>
        </w:rPr>
        <w:t>Mandatory reporting</w:t>
      </w:r>
    </w:p>
    <w:p w:rsidR="00F96D5C" w:rsidRDefault="00F96D5C" w:rsidP="00910984">
      <w:pPr>
        <w:pStyle w:val="Heading5"/>
        <w:keepNext w:val="0"/>
        <w:keepLines w:val="0"/>
        <w:widowControl w:val="0"/>
        <w:spacing w:before="0" w:after="0"/>
        <w:rPr>
          <w:rFonts w:ascii="Public Sans" w:hAnsi="Public Sans"/>
          <w:color w:val="000000" w:themeColor="text1"/>
          <w:sz w:val="22"/>
        </w:rPr>
      </w:pPr>
      <w:r w:rsidRPr="00F96D5C">
        <w:rPr>
          <w:rFonts w:ascii="Public Sans" w:hAnsi="Public Sans"/>
          <w:color w:val="000000" w:themeColor="text1"/>
          <w:sz w:val="22"/>
        </w:rPr>
        <w:t>The Act</w:t>
      </w:r>
      <w:r>
        <w:rPr>
          <w:rFonts w:ascii="Public Sans" w:hAnsi="Public Sans"/>
          <w:color w:val="000000" w:themeColor="text1"/>
          <w:sz w:val="22"/>
        </w:rPr>
        <w:t xml:space="preserve"> does not currently mandate the reporting of matters to the ADC. At the time the Ageing and Disability Commissioner Bill 2019 was being debated in Parliament, consideration was given to whether reporting should be mandatory for certain parties</w:t>
      </w:r>
      <w:r w:rsidR="00EB22A4">
        <w:rPr>
          <w:rFonts w:ascii="Public Sans" w:hAnsi="Public Sans"/>
          <w:color w:val="000000" w:themeColor="text1"/>
          <w:sz w:val="22"/>
        </w:rPr>
        <w:t>,</w:t>
      </w:r>
      <w:r>
        <w:rPr>
          <w:rFonts w:ascii="Public Sans" w:hAnsi="Public Sans"/>
          <w:color w:val="000000" w:themeColor="text1"/>
          <w:sz w:val="22"/>
        </w:rPr>
        <w:t xml:space="preserve"> such as </w:t>
      </w:r>
      <w:r w:rsidR="00BC123E">
        <w:rPr>
          <w:rFonts w:ascii="Public Sans" w:hAnsi="Public Sans"/>
          <w:color w:val="000000" w:themeColor="text1"/>
          <w:sz w:val="22"/>
        </w:rPr>
        <w:t>service providers.</w:t>
      </w:r>
      <w:r>
        <w:rPr>
          <w:rFonts w:ascii="Public Sans" w:hAnsi="Public Sans"/>
          <w:color w:val="000000" w:themeColor="text1"/>
          <w:sz w:val="22"/>
        </w:rPr>
        <w:t xml:space="preserve"> </w:t>
      </w:r>
      <w:r w:rsidR="00BC123E">
        <w:rPr>
          <w:rFonts w:ascii="Public Sans" w:hAnsi="Public Sans"/>
          <w:color w:val="000000" w:themeColor="text1"/>
          <w:sz w:val="22"/>
        </w:rPr>
        <w:t xml:space="preserve">At the time, the decision was made not to include mandatory requirements to report to the ADC, and instead to provide time for the ADC to operate and to see whether such a requirement would be needed. </w:t>
      </w:r>
    </w:p>
    <w:p w:rsidR="00BC123E" w:rsidRPr="00EB22A4" w:rsidRDefault="00BC123E" w:rsidP="00910984">
      <w:pPr>
        <w:pStyle w:val="BodyText"/>
        <w:widowControl w:val="0"/>
        <w:spacing w:before="0" w:after="0"/>
        <w:rPr>
          <w:rFonts w:ascii="Public Sans" w:hAnsi="Public Sans"/>
          <w:sz w:val="22"/>
        </w:rPr>
      </w:pPr>
    </w:p>
    <w:p w:rsidR="0078121F" w:rsidRDefault="00EB22A4" w:rsidP="00910984">
      <w:pPr>
        <w:pStyle w:val="BodyText"/>
        <w:widowControl w:val="0"/>
        <w:spacing w:before="0" w:after="0" w:line="240" w:lineRule="auto"/>
        <w:rPr>
          <w:rFonts w:ascii="Public Sans" w:hAnsi="Public Sans"/>
          <w:sz w:val="22"/>
        </w:rPr>
      </w:pPr>
      <w:r>
        <w:rPr>
          <w:rFonts w:ascii="Public Sans" w:hAnsi="Public Sans"/>
          <w:sz w:val="22"/>
        </w:rPr>
        <w:t xml:space="preserve">At this time, we do not support the introduction of any mandatory requirements for parties to report to the ADC. Reports to the ADC have increased each year since commencement, including a further 12 per cent increase in the last financial year. Reports by service providers have increased </w:t>
      </w:r>
      <w:r w:rsidR="00AB17CB">
        <w:rPr>
          <w:rFonts w:ascii="Public Sans" w:hAnsi="Public Sans"/>
          <w:sz w:val="22"/>
        </w:rPr>
        <w:t xml:space="preserve">in response to our engagement activities and direct contact with the ADC in relation to reports. While service providers have consistently accounted for around two-thirds of the reports about adults with disability, they are increasingly also key reporters in relation to concerns about older people. In 2021/22, service providers overtook adult children as the </w:t>
      </w:r>
      <w:r w:rsidR="0078121F">
        <w:rPr>
          <w:rFonts w:ascii="Public Sans" w:hAnsi="Public Sans"/>
          <w:sz w:val="22"/>
        </w:rPr>
        <w:t>main source of</w:t>
      </w:r>
      <w:r w:rsidR="00AB17CB">
        <w:rPr>
          <w:rFonts w:ascii="Public Sans" w:hAnsi="Public Sans"/>
          <w:sz w:val="22"/>
        </w:rPr>
        <w:t xml:space="preserve"> reports to the ADC about older people (</w:t>
      </w:r>
      <w:r w:rsidR="0078121F">
        <w:rPr>
          <w:rFonts w:ascii="Public Sans" w:hAnsi="Public Sans"/>
          <w:sz w:val="22"/>
        </w:rPr>
        <w:t xml:space="preserve">29%). </w:t>
      </w:r>
    </w:p>
    <w:p w:rsidR="0078121F" w:rsidRDefault="0078121F" w:rsidP="00910984">
      <w:pPr>
        <w:pStyle w:val="BodyText"/>
        <w:widowControl w:val="0"/>
        <w:spacing w:before="0" w:after="0" w:line="240" w:lineRule="auto"/>
        <w:rPr>
          <w:rFonts w:ascii="Public Sans" w:hAnsi="Public Sans"/>
          <w:sz w:val="22"/>
        </w:rPr>
      </w:pPr>
    </w:p>
    <w:p w:rsidR="00BC123E" w:rsidRDefault="0078121F" w:rsidP="00910984">
      <w:pPr>
        <w:pStyle w:val="BodyText"/>
        <w:widowControl w:val="0"/>
        <w:spacing w:before="0" w:after="0" w:line="240" w:lineRule="auto"/>
        <w:rPr>
          <w:rFonts w:ascii="Public Sans" w:hAnsi="Public Sans"/>
          <w:sz w:val="22"/>
        </w:rPr>
      </w:pPr>
      <w:r>
        <w:rPr>
          <w:rFonts w:ascii="Public Sans" w:hAnsi="Public Sans"/>
          <w:sz w:val="22"/>
        </w:rPr>
        <w:t>The ADC anticipates that the number of reports will continue to grow</w:t>
      </w:r>
      <w:r w:rsidR="00055B77">
        <w:rPr>
          <w:rFonts w:ascii="Public Sans" w:hAnsi="Public Sans"/>
          <w:sz w:val="22"/>
        </w:rPr>
        <w:t>, without mandatory reporting. There are many factors that will contribute to continued growth in reports to the ADC</w:t>
      </w:r>
      <w:r>
        <w:rPr>
          <w:rFonts w:ascii="Public Sans" w:hAnsi="Public Sans"/>
          <w:sz w:val="22"/>
        </w:rPr>
        <w:t xml:space="preserve">, including in response to the ADC’s community education and awareness-raising functions; public campaigns about abuse (such as </w:t>
      </w:r>
      <w:r w:rsidR="007F4429">
        <w:rPr>
          <w:rFonts w:ascii="Public Sans" w:hAnsi="Public Sans"/>
          <w:sz w:val="22"/>
        </w:rPr>
        <w:t>those promoting</w:t>
      </w:r>
      <w:r>
        <w:rPr>
          <w:rFonts w:ascii="Public Sans" w:hAnsi="Public Sans"/>
          <w:sz w:val="22"/>
        </w:rPr>
        <w:t xml:space="preserve"> 1800ELDER Help); the growing number of adults with disability and older people</w:t>
      </w:r>
      <w:r w:rsidR="00055B77">
        <w:rPr>
          <w:rFonts w:ascii="Public Sans" w:hAnsi="Public Sans"/>
          <w:sz w:val="22"/>
        </w:rPr>
        <w:t xml:space="preserve"> in NSW</w:t>
      </w:r>
      <w:r>
        <w:rPr>
          <w:rFonts w:ascii="Public Sans" w:hAnsi="Public Sans"/>
          <w:sz w:val="22"/>
        </w:rPr>
        <w:t>; and heightened risk factors, including cost of living pressures</w:t>
      </w:r>
      <w:r w:rsidR="00483B6A">
        <w:rPr>
          <w:rFonts w:ascii="Public Sans" w:hAnsi="Public Sans"/>
          <w:sz w:val="22"/>
        </w:rPr>
        <w:t xml:space="preserve">, </w:t>
      </w:r>
      <w:r>
        <w:rPr>
          <w:rFonts w:ascii="Public Sans" w:hAnsi="Public Sans"/>
          <w:sz w:val="22"/>
        </w:rPr>
        <w:t>lack of affordable housing options</w:t>
      </w:r>
      <w:r w:rsidR="00483B6A">
        <w:rPr>
          <w:rFonts w:ascii="Public Sans" w:hAnsi="Public Sans"/>
          <w:sz w:val="22"/>
        </w:rPr>
        <w:t>, and inheritance impatience</w:t>
      </w:r>
      <w:r>
        <w:rPr>
          <w:rFonts w:ascii="Public Sans" w:hAnsi="Public Sans"/>
          <w:sz w:val="22"/>
        </w:rPr>
        <w:t xml:space="preserve">. </w:t>
      </w:r>
    </w:p>
    <w:p w:rsidR="0078121F" w:rsidRDefault="0078121F" w:rsidP="00910984">
      <w:pPr>
        <w:pStyle w:val="BodyText"/>
        <w:widowControl w:val="0"/>
        <w:spacing w:before="0" w:after="0" w:line="240" w:lineRule="auto"/>
        <w:rPr>
          <w:rFonts w:ascii="Public Sans" w:hAnsi="Public Sans"/>
          <w:sz w:val="22"/>
        </w:rPr>
      </w:pPr>
    </w:p>
    <w:p w:rsidR="00055B77" w:rsidRDefault="008052AF" w:rsidP="00910984">
      <w:pPr>
        <w:pStyle w:val="BodyText"/>
        <w:widowControl w:val="0"/>
        <w:spacing w:before="0" w:after="0" w:line="240" w:lineRule="auto"/>
        <w:rPr>
          <w:rFonts w:ascii="Public Sans" w:hAnsi="Public Sans"/>
          <w:sz w:val="22"/>
        </w:rPr>
      </w:pPr>
      <w:r>
        <w:rPr>
          <w:rFonts w:ascii="Public Sans" w:hAnsi="Public Sans"/>
          <w:sz w:val="22"/>
        </w:rPr>
        <w:t xml:space="preserve">In a range of cases, the ADC has received reports from service providers (mainly disability providers) </w:t>
      </w:r>
      <w:r w:rsidR="004C748D">
        <w:rPr>
          <w:rFonts w:ascii="Public Sans" w:hAnsi="Public Sans"/>
          <w:sz w:val="22"/>
        </w:rPr>
        <w:t xml:space="preserve">to fulfil </w:t>
      </w:r>
      <w:r>
        <w:rPr>
          <w:rFonts w:ascii="Public Sans" w:hAnsi="Public Sans"/>
          <w:sz w:val="22"/>
        </w:rPr>
        <w:t xml:space="preserve">what they believe to be their ‘mandatory reporting’ responsibilities. </w:t>
      </w:r>
      <w:r w:rsidR="004C748D">
        <w:rPr>
          <w:rFonts w:ascii="Public Sans" w:hAnsi="Public Sans"/>
          <w:sz w:val="22"/>
        </w:rPr>
        <w:t xml:space="preserve">In some cases, this has been associated with providers recognising their responsibilities to report certain serious incidents to the NDIS Commission, and adding the ADC for any </w:t>
      </w:r>
      <w:r w:rsidR="003C3E32">
        <w:rPr>
          <w:rFonts w:ascii="Public Sans" w:hAnsi="Public Sans"/>
          <w:sz w:val="22"/>
        </w:rPr>
        <w:t xml:space="preserve">other </w:t>
      </w:r>
      <w:r w:rsidR="004C748D">
        <w:rPr>
          <w:rFonts w:ascii="Public Sans" w:hAnsi="Public Sans"/>
          <w:sz w:val="22"/>
        </w:rPr>
        <w:t xml:space="preserve">matters. In other cases, the providers have been aware that there are no mandatory requirements to report to the ADC, but have added it as a </w:t>
      </w:r>
      <w:r w:rsidR="003C3E32">
        <w:rPr>
          <w:rFonts w:ascii="Public Sans" w:hAnsi="Public Sans"/>
          <w:sz w:val="22"/>
        </w:rPr>
        <w:t>compulsory</w:t>
      </w:r>
      <w:r w:rsidR="004C748D">
        <w:rPr>
          <w:rFonts w:ascii="Public Sans" w:hAnsi="Public Sans"/>
          <w:sz w:val="22"/>
        </w:rPr>
        <w:t xml:space="preserve"> step in their organisation’s procedures in order to mitigate risk. </w:t>
      </w:r>
      <w:r w:rsidR="00B96500">
        <w:rPr>
          <w:rFonts w:ascii="Public Sans" w:hAnsi="Public Sans"/>
          <w:sz w:val="22"/>
        </w:rPr>
        <w:t>In circumstances where the provider has already taken or is taking appropriate safeguarding actions with the adult</w:t>
      </w:r>
      <w:r w:rsidR="004C748D">
        <w:rPr>
          <w:rFonts w:ascii="Public Sans" w:hAnsi="Public Sans"/>
          <w:sz w:val="22"/>
        </w:rPr>
        <w:t xml:space="preserve"> </w:t>
      </w:r>
      <w:r w:rsidR="00B96500">
        <w:rPr>
          <w:rFonts w:ascii="Public Sans" w:hAnsi="Public Sans"/>
          <w:sz w:val="22"/>
        </w:rPr>
        <w:t xml:space="preserve">to stop the abuse and prevent recurrence (including reporting to police in relevant matters), reporting to the ADC has resulted in duplication of effort and unnecessary additional work for the ADC and the reporting agency. </w:t>
      </w:r>
      <w:r w:rsidR="004374EA">
        <w:rPr>
          <w:rFonts w:ascii="Public Sans" w:hAnsi="Public Sans"/>
          <w:sz w:val="22"/>
        </w:rPr>
        <w:t xml:space="preserve">In the past 18 months, the ADC has undertaken proactive outreach activities with these providers to ensure that there is a shared understanding of when to report to the ADC, and how we can best work together. </w:t>
      </w:r>
    </w:p>
    <w:p w:rsidR="0078121F" w:rsidRPr="00EB22A4" w:rsidRDefault="0078121F" w:rsidP="00910984">
      <w:pPr>
        <w:pStyle w:val="BodyText"/>
        <w:widowControl w:val="0"/>
        <w:spacing w:before="0" w:after="0" w:line="240" w:lineRule="auto"/>
        <w:rPr>
          <w:rFonts w:ascii="Public Sans" w:hAnsi="Public Sans"/>
          <w:sz w:val="22"/>
        </w:rPr>
      </w:pPr>
    </w:p>
    <w:p w:rsidR="00B86B7C" w:rsidRPr="00B86B7C" w:rsidRDefault="00B86B7C" w:rsidP="00910984">
      <w:pPr>
        <w:pStyle w:val="Heading5"/>
        <w:keepNext w:val="0"/>
        <w:keepLines w:val="0"/>
        <w:widowControl w:val="0"/>
        <w:spacing w:before="0"/>
        <w:rPr>
          <w:rFonts w:ascii="Public Sans" w:hAnsi="Public Sans"/>
          <w:b/>
          <w:color w:val="000000" w:themeColor="text1"/>
          <w:sz w:val="22"/>
        </w:rPr>
      </w:pPr>
      <w:r w:rsidRPr="00B86B7C">
        <w:rPr>
          <w:rFonts w:ascii="Public Sans" w:hAnsi="Public Sans"/>
          <w:b/>
          <w:color w:val="000000" w:themeColor="text1"/>
          <w:sz w:val="22"/>
        </w:rPr>
        <w:t>Actions the ADC can take in response to a report</w:t>
      </w:r>
      <w:r w:rsidR="004D739D">
        <w:rPr>
          <w:rFonts w:ascii="Public Sans" w:hAnsi="Public Sans"/>
          <w:b/>
          <w:color w:val="000000" w:themeColor="text1"/>
          <w:sz w:val="22"/>
        </w:rPr>
        <w:t xml:space="preserve"> (section 13(5))</w:t>
      </w:r>
    </w:p>
    <w:p w:rsidR="00B86B7C" w:rsidRDefault="00B86B7C" w:rsidP="00910984">
      <w:pPr>
        <w:pStyle w:val="BodyText"/>
        <w:widowControl w:val="0"/>
        <w:spacing w:before="0" w:after="0" w:line="240" w:lineRule="auto"/>
        <w:rPr>
          <w:rFonts w:ascii="Public Sans" w:hAnsi="Public Sans"/>
          <w:sz w:val="22"/>
        </w:rPr>
      </w:pPr>
      <w:r>
        <w:rPr>
          <w:rFonts w:ascii="Public Sans" w:hAnsi="Public Sans"/>
          <w:sz w:val="22"/>
        </w:rPr>
        <w:t xml:space="preserve">Section 13(5) provides that the ADC ‘may do any one or more of the following in respect of a report – </w:t>
      </w:r>
    </w:p>
    <w:p w:rsidR="00B86B7C" w:rsidRDefault="00B86B7C" w:rsidP="000866C5">
      <w:pPr>
        <w:pStyle w:val="BodyText"/>
        <w:widowControl w:val="0"/>
        <w:numPr>
          <w:ilvl w:val="0"/>
          <w:numId w:val="24"/>
        </w:numPr>
        <w:spacing w:before="0" w:after="0" w:line="240" w:lineRule="auto"/>
        <w:rPr>
          <w:rFonts w:ascii="Public Sans" w:hAnsi="Public Sans"/>
          <w:sz w:val="22"/>
        </w:rPr>
      </w:pPr>
      <w:r>
        <w:rPr>
          <w:rFonts w:ascii="Public Sans" w:hAnsi="Public Sans"/>
          <w:sz w:val="22"/>
        </w:rPr>
        <w:t>conduct an investigation</w:t>
      </w:r>
      <w:r w:rsidR="00194911">
        <w:rPr>
          <w:rFonts w:ascii="Public Sans" w:hAnsi="Public Sans"/>
          <w:sz w:val="22"/>
        </w:rPr>
        <w:t>,</w:t>
      </w:r>
    </w:p>
    <w:p w:rsidR="00B86B7C" w:rsidRDefault="00B86B7C" w:rsidP="000866C5">
      <w:pPr>
        <w:pStyle w:val="BodyText"/>
        <w:widowControl w:val="0"/>
        <w:numPr>
          <w:ilvl w:val="0"/>
          <w:numId w:val="24"/>
        </w:numPr>
        <w:spacing w:before="0" w:after="0" w:line="240" w:lineRule="auto"/>
        <w:rPr>
          <w:rFonts w:ascii="Public Sans" w:hAnsi="Public Sans"/>
          <w:sz w:val="22"/>
        </w:rPr>
      </w:pPr>
      <w:r>
        <w:rPr>
          <w:rFonts w:ascii="Public Sans" w:hAnsi="Public Sans"/>
          <w:sz w:val="22"/>
        </w:rPr>
        <w:t>make a referral to another person or body</w:t>
      </w:r>
      <w:r w:rsidR="00194911">
        <w:rPr>
          <w:rFonts w:ascii="Public Sans" w:hAnsi="Public Sans"/>
          <w:sz w:val="22"/>
        </w:rPr>
        <w:t>,</w:t>
      </w:r>
    </w:p>
    <w:p w:rsidR="00B86B7C" w:rsidRDefault="00B86B7C" w:rsidP="000866C5">
      <w:pPr>
        <w:pStyle w:val="BodyText"/>
        <w:widowControl w:val="0"/>
        <w:numPr>
          <w:ilvl w:val="0"/>
          <w:numId w:val="24"/>
        </w:numPr>
        <w:spacing w:before="0" w:after="0" w:line="240" w:lineRule="auto"/>
        <w:rPr>
          <w:rFonts w:ascii="Public Sans" w:hAnsi="Public Sans"/>
          <w:sz w:val="22"/>
        </w:rPr>
      </w:pPr>
      <w:r>
        <w:rPr>
          <w:rFonts w:ascii="Public Sans" w:hAnsi="Public Sans"/>
          <w:sz w:val="22"/>
        </w:rPr>
        <w:t>decline to take action on the report.</w:t>
      </w:r>
      <w:r w:rsidR="00C9396A">
        <w:rPr>
          <w:rFonts w:ascii="Public Sans" w:hAnsi="Public Sans"/>
          <w:sz w:val="22"/>
        </w:rPr>
        <w:t>’</w:t>
      </w:r>
      <w:r>
        <w:rPr>
          <w:rFonts w:ascii="Public Sans" w:hAnsi="Public Sans"/>
          <w:sz w:val="22"/>
        </w:rPr>
        <w:t xml:space="preserve"> </w:t>
      </w:r>
    </w:p>
    <w:p w:rsidR="00C9396A" w:rsidRDefault="00C9396A" w:rsidP="00910984">
      <w:pPr>
        <w:pStyle w:val="BodyText"/>
        <w:widowControl w:val="0"/>
        <w:spacing w:before="0" w:after="0" w:line="240" w:lineRule="auto"/>
        <w:rPr>
          <w:rFonts w:ascii="Public Sans" w:hAnsi="Public Sans"/>
          <w:sz w:val="22"/>
        </w:rPr>
      </w:pPr>
    </w:p>
    <w:p w:rsidR="00C9396A" w:rsidRDefault="00C9396A" w:rsidP="00910984">
      <w:pPr>
        <w:pStyle w:val="BodyText"/>
        <w:widowControl w:val="0"/>
        <w:spacing w:before="0" w:after="0" w:line="240" w:lineRule="auto"/>
        <w:rPr>
          <w:rFonts w:ascii="Public Sans" w:hAnsi="Public Sans"/>
          <w:sz w:val="22"/>
        </w:rPr>
      </w:pPr>
      <w:r>
        <w:rPr>
          <w:rFonts w:ascii="Public Sans" w:hAnsi="Public Sans"/>
          <w:sz w:val="22"/>
        </w:rPr>
        <w:t>In practice, the ADC takes a broader range of actions in relation to reports</w:t>
      </w:r>
      <w:r w:rsidR="009920C5">
        <w:rPr>
          <w:rFonts w:ascii="Public Sans" w:hAnsi="Public Sans"/>
          <w:sz w:val="22"/>
        </w:rPr>
        <w:t>. In particular</w:t>
      </w:r>
      <w:r>
        <w:rPr>
          <w:rFonts w:ascii="Public Sans" w:hAnsi="Public Sans"/>
          <w:sz w:val="22"/>
        </w:rPr>
        <w:t>:</w:t>
      </w:r>
    </w:p>
    <w:p w:rsidR="00C9396A" w:rsidRDefault="00BA3B26" w:rsidP="000866C5">
      <w:pPr>
        <w:pStyle w:val="BodyText"/>
        <w:widowControl w:val="0"/>
        <w:numPr>
          <w:ilvl w:val="0"/>
          <w:numId w:val="25"/>
        </w:numPr>
        <w:spacing w:after="0" w:line="240" w:lineRule="auto"/>
        <w:ind w:left="714" w:hanging="357"/>
        <w:rPr>
          <w:rFonts w:ascii="Public Sans" w:hAnsi="Public Sans"/>
          <w:sz w:val="22"/>
        </w:rPr>
      </w:pPr>
      <w:r>
        <w:rPr>
          <w:rFonts w:ascii="Public Sans" w:hAnsi="Public Sans"/>
          <w:b/>
          <w:sz w:val="22"/>
        </w:rPr>
        <w:t>Early case coordination and c</w:t>
      </w:r>
      <w:r w:rsidR="007675D3" w:rsidRPr="009920C5">
        <w:rPr>
          <w:rFonts w:ascii="Public Sans" w:hAnsi="Public Sans"/>
          <w:b/>
          <w:sz w:val="22"/>
        </w:rPr>
        <w:t>apability building activities with the adults and/or supporters</w:t>
      </w:r>
      <w:r w:rsidR="007675D3">
        <w:rPr>
          <w:rFonts w:ascii="Public Sans" w:hAnsi="Public Sans"/>
          <w:sz w:val="22"/>
        </w:rPr>
        <w:t xml:space="preserve"> – e</w:t>
      </w:r>
      <w:r w:rsidR="006E2874">
        <w:rPr>
          <w:rFonts w:ascii="Public Sans" w:hAnsi="Public Sans"/>
          <w:sz w:val="22"/>
        </w:rPr>
        <w:t>.</w:t>
      </w:r>
      <w:r w:rsidR="007675D3">
        <w:rPr>
          <w:rFonts w:ascii="Public Sans" w:hAnsi="Public Sans"/>
          <w:sz w:val="22"/>
        </w:rPr>
        <w:t>g</w:t>
      </w:r>
      <w:r w:rsidR="006E2874">
        <w:rPr>
          <w:rFonts w:ascii="Public Sans" w:hAnsi="Public Sans"/>
          <w:sz w:val="22"/>
        </w:rPr>
        <w:t>.</w:t>
      </w:r>
      <w:r w:rsidR="007675D3">
        <w:rPr>
          <w:rFonts w:ascii="Public Sans" w:hAnsi="Public Sans"/>
          <w:sz w:val="22"/>
        </w:rPr>
        <w:t xml:space="preserve"> regular engagement with the adult or service provider for up to 12 weeks to provide guidance and support to enable them to take appropriate actions to </w:t>
      </w:r>
      <w:r w:rsidR="009920C5">
        <w:rPr>
          <w:rFonts w:ascii="Public Sans" w:hAnsi="Public Sans"/>
          <w:sz w:val="22"/>
        </w:rPr>
        <w:t>improve the adult’s safety and stop the abuse</w:t>
      </w:r>
      <w:r>
        <w:rPr>
          <w:rFonts w:ascii="Public Sans" w:hAnsi="Public Sans"/>
          <w:sz w:val="22"/>
        </w:rPr>
        <w:t>.</w:t>
      </w:r>
    </w:p>
    <w:p w:rsidR="00C9396A" w:rsidRDefault="009920C5" w:rsidP="000866C5">
      <w:pPr>
        <w:pStyle w:val="BodyText"/>
        <w:widowControl w:val="0"/>
        <w:numPr>
          <w:ilvl w:val="0"/>
          <w:numId w:val="25"/>
        </w:numPr>
        <w:spacing w:after="0" w:line="240" w:lineRule="auto"/>
        <w:ind w:left="714" w:hanging="357"/>
        <w:rPr>
          <w:rFonts w:ascii="Public Sans" w:hAnsi="Public Sans"/>
          <w:sz w:val="22"/>
        </w:rPr>
      </w:pPr>
      <w:r w:rsidRPr="009920C5">
        <w:rPr>
          <w:rFonts w:ascii="Public Sans" w:hAnsi="Public Sans"/>
          <w:b/>
          <w:sz w:val="22"/>
        </w:rPr>
        <w:lastRenderedPageBreak/>
        <w:t>C</w:t>
      </w:r>
      <w:r w:rsidR="00C9396A" w:rsidRPr="009920C5">
        <w:rPr>
          <w:rFonts w:ascii="Public Sans" w:hAnsi="Public Sans"/>
          <w:b/>
          <w:sz w:val="22"/>
        </w:rPr>
        <w:t>ommunity supports</w:t>
      </w:r>
      <w:bookmarkEnd w:id="0"/>
      <w:r>
        <w:rPr>
          <w:rFonts w:ascii="Public Sans" w:hAnsi="Public Sans"/>
          <w:sz w:val="22"/>
        </w:rPr>
        <w:t xml:space="preserve"> – working with the adult and others (as appropriate) to enhance/improve supports </w:t>
      </w:r>
      <w:r w:rsidR="006E2874">
        <w:rPr>
          <w:rFonts w:ascii="Public Sans" w:hAnsi="Public Sans"/>
          <w:sz w:val="22"/>
        </w:rPr>
        <w:t xml:space="preserve">and safeguards </w:t>
      </w:r>
      <w:r>
        <w:rPr>
          <w:rFonts w:ascii="Public Sans" w:hAnsi="Public Sans"/>
          <w:sz w:val="22"/>
        </w:rPr>
        <w:t xml:space="preserve">for the adult; </w:t>
      </w:r>
      <w:r w:rsidR="006E2874">
        <w:rPr>
          <w:rFonts w:ascii="Public Sans" w:hAnsi="Public Sans"/>
          <w:sz w:val="22"/>
        </w:rPr>
        <w:t xml:space="preserve">and undertake and </w:t>
      </w:r>
      <w:r>
        <w:rPr>
          <w:rFonts w:ascii="Public Sans" w:hAnsi="Public Sans"/>
          <w:sz w:val="22"/>
        </w:rPr>
        <w:t xml:space="preserve">coordinate activities to improve </w:t>
      </w:r>
      <w:r w:rsidR="006E2874">
        <w:rPr>
          <w:rFonts w:ascii="Public Sans" w:hAnsi="Public Sans"/>
          <w:sz w:val="22"/>
        </w:rPr>
        <w:t xml:space="preserve">safety and support. A ‘community supports’ </w:t>
      </w:r>
      <w:r w:rsidR="005A2B85">
        <w:rPr>
          <w:rFonts w:ascii="Public Sans" w:hAnsi="Public Sans"/>
          <w:sz w:val="22"/>
        </w:rPr>
        <w:t>approach</w:t>
      </w:r>
      <w:r w:rsidR="006E2874">
        <w:rPr>
          <w:rFonts w:ascii="Public Sans" w:hAnsi="Public Sans"/>
          <w:sz w:val="22"/>
        </w:rPr>
        <w:t xml:space="preserve"> incorporates a lot of the work the ADC undertakes to safeguard the adult</w:t>
      </w:r>
      <w:r w:rsidR="00513290">
        <w:rPr>
          <w:rFonts w:ascii="Public Sans" w:hAnsi="Public Sans"/>
          <w:sz w:val="22"/>
        </w:rPr>
        <w:t>, including</w:t>
      </w:r>
      <w:r w:rsidR="006E2874">
        <w:rPr>
          <w:rFonts w:ascii="Public Sans" w:hAnsi="Public Sans"/>
          <w:sz w:val="22"/>
        </w:rPr>
        <w:t xml:space="preserve"> when the matter is unable to </w:t>
      </w:r>
      <w:r w:rsidR="005A2B85">
        <w:rPr>
          <w:rFonts w:ascii="Public Sans" w:hAnsi="Public Sans"/>
          <w:sz w:val="22"/>
        </w:rPr>
        <w:t>be investigated (</w:t>
      </w:r>
      <w:r w:rsidR="00BA3B26">
        <w:rPr>
          <w:rFonts w:ascii="Public Sans" w:hAnsi="Public Sans"/>
          <w:sz w:val="22"/>
        </w:rPr>
        <w:t>e.g</w:t>
      </w:r>
      <w:r w:rsidR="005A2B85">
        <w:rPr>
          <w:rFonts w:ascii="Public Sans" w:hAnsi="Public Sans"/>
          <w:sz w:val="22"/>
        </w:rPr>
        <w:t>.</w:t>
      </w:r>
      <w:r w:rsidR="00BA3B26">
        <w:rPr>
          <w:rFonts w:ascii="Public Sans" w:hAnsi="Public Sans"/>
          <w:sz w:val="22"/>
        </w:rPr>
        <w:t xml:space="preserve"> where</w:t>
      </w:r>
      <w:r w:rsidR="005A2B85">
        <w:rPr>
          <w:rFonts w:ascii="Public Sans" w:hAnsi="Public Sans"/>
          <w:sz w:val="22"/>
        </w:rPr>
        <w:t xml:space="preserve"> the adult does not consent to an investigation, but is happy for the ADC to take actions to facilitate or enhance supports; or to help address the support needs of the subject of allegation in order to stop the abuse). Actions as part of the community supports approach </w:t>
      </w:r>
      <w:r w:rsidR="006E2874">
        <w:rPr>
          <w:rFonts w:ascii="Public Sans" w:hAnsi="Public Sans"/>
          <w:sz w:val="22"/>
        </w:rPr>
        <w:t>can inclu</w:t>
      </w:r>
      <w:r w:rsidR="005A2B85">
        <w:rPr>
          <w:rFonts w:ascii="Public Sans" w:hAnsi="Public Sans"/>
          <w:sz w:val="22"/>
        </w:rPr>
        <w:t>de ma</w:t>
      </w:r>
      <w:r w:rsidR="00BA3B26">
        <w:rPr>
          <w:rFonts w:ascii="Public Sans" w:hAnsi="Public Sans"/>
          <w:sz w:val="22"/>
        </w:rPr>
        <w:t>king applications to NCAT (</w:t>
      </w:r>
      <w:r w:rsidR="005A2B85">
        <w:rPr>
          <w:rFonts w:ascii="Public Sans" w:hAnsi="Public Sans"/>
          <w:sz w:val="22"/>
        </w:rPr>
        <w:t xml:space="preserve">this step is not only taken </w:t>
      </w:r>
      <w:r w:rsidR="00BA3B26">
        <w:rPr>
          <w:rFonts w:ascii="Public Sans" w:hAnsi="Public Sans"/>
          <w:sz w:val="22"/>
        </w:rPr>
        <w:t xml:space="preserve">following an investigation). </w:t>
      </w:r>
    </w:p>
    <w:p w:rsidR="00BA3B26" w:rsidRDefault="00BA3B26" w:rsidP="00910984">
      <w:pPr>
        <w:pStyle w:val="BodyText"/>
        <w:widowControl w:val="0"/>
        <w:spacing w:before="0" w:after="0" w:line="240" w:lineRule="auto"/>
        <w:rPr>
          <w:rFonts w:ascii="Public Sans" w:hAnsi="Public Sans"/>
          <w:b/>
          <w:sz w:val="22"/>
        </w:rPr>
      </w:pPr>
    </w:p>
    <w:p w:rsidR="00254B6F" w:rsidRDefault="00254B6F" w:rsidP="00910984">
      <w:pPr>
        <w:pStyle w:val="BodyText"/>
        <w:widowControl w:val="0"/>
        <w:spacing w:before="0" w:after="0" w:line="240" w:lineRule="auto"/>
        <w:rPr>
          <w:rFonts w:ascii="Public Sans" w:hAnsi="Public Sans"/>
          <w:sz w:val="22"/>
        </w:rPr>
      </w:pPr>
      <w:r>
        <w:rPr>
          <w:rFonts w:ascii="Public Sans" w:hAnsi="Public Sans"/>
          <w:sz w:val="22"/>
        </w:rPr>
        <w:t>S</w:t>
      </w:r>
      <w:r w:rsidR="00BA3B26">
        <w:rPr>
          <w:rFonts w:ascii="Public Sans" w:hAnsi="Public Sans"/>
          <w:sz w:val="22"/>
        </w:rPr>
        <w:t xml:space="preserve">ome of the above pathways </w:t>
      </w:r>
      <w:r>
        <w:rPr>
          <w:rFonts w:ascii="Public Sans" w:hAnsi="Public Sans"/>
          <w:sz w:val="22"/>
        </w:rPr>
        <w:t>can</w:t>
      </w:r>
      <w:r w:rsidR="00BA3B26">
        <w:rPr>
          <w:rFonts w:ascii="Public Sans" w:hAnsi="Public Sans"/>
          <w:sz w:val="22"/>
        </w:rPr>
        <w:t xml:space="preserve"> involve referrals (</w:t>
      </w:r>
      <w:r>
        <w:rPr>
          <w:rFonts w:ascii="Public Sans" w:hAnsi="Public Sans"/>
          <w:sz w:val="22"/>
        </w:rPr>
        <w:t>and</w:t>
      </w:r>
      <w:r w:rsidR="00BA3B26">
        <w:rPr>
          <w:rFonts w:ascii="Public Sans" w:hAnsi="Public Sans"/>
          <w:sz w:val="22"/>
        </w:rPr>
        <w:t xml:space="preserve"> potentially link to section 13(5)(b)</w:t>
      </w:r>
      <w:r w:rsidR="007F4429">
        <w:rPr>
          <w:rFonts w:ascii="Public Sans" w:hAnsi="Public Sans"/>
          <w:sz w:val="22"/>
        </w:rPr>
        <w:t>)</w:t>
      </w:r>
      <w:r>
        <w:rPr>
          <w:rFonts w:ascii="Public Sans" w:hAnsi="Public Sans"/>
          <w:sz w:val="22"/>
        </w:rPr>
        <w:t>; however</w:t>
      </w:r>
      <w:r w:rsidR="00BA3B26">
        <w:rPr>
          <w:rFonts w:ascii="Public Sans" w:hAnsi="Public Sans"/>
          <w:sz w:val="22"/>
        </w:rPr>
        <w:t>, this is not always the case.</w:t>
      </w:r>
    </w:p>
    <w:p w:rsidR="00254B6F" w:rsidRDefault="00254B6F" w:rsidP="00910984">
      <w:pPr>
        <w:pStyle w:val="BodyText"/>
        <w:widowControl w:val="0"/>
        <w:spacing w:before="0" w:after="0" w:line="240" w:lineRule="auto"/>
        <w:rPr>
          <w:rFonts w:ascii="Public Sans" w:hAnsi="Public Sans"/>
          <w:sz w:val="22"/>
        </w:rPr>
      </w:pPr>
    </w:p>
    <w:p w:rsidR="00254B6F" w:rsidRDefault="00254B6F" w:rsidP="00910984">
      <w:pPr>
        <w:pStyle w:val="BodyText"/>
        <w:widowControl w:val="0"/>
        <w:spacing w:before="0" w:after="0" w:line="240" w:lineRule="auto"/>
        <w:rPr>
          <w:rFonts w:ascii="Public Sans" w:hAnsi="Public Sans"/>
          <w:sz w:val="22"/>
        </w:rPr>
      </w:pPr>
      <w:r>
        <w:rPr>
          <w:rFonts w:ascii="Public Sans" w:hAnsi="Public Sans"/>
          <w:sz w:val="22"/>
        </w:rPr>
        <w:t xml:space="preserve">We appreciate why the focus in the legislation is on investigations and referrals. However, it does not adequately reflect the broader scope of the actions the ADC needs to take in response to reports, taking into account the will and preference (‘wishes’) of the adult. We </w:t>
      </w:r>
      <w:r w:rsidR="00AC1C9B">
        <w:rPr>
          <w:rFonts w:ascii="Public Sans" w:hAnsi="Public Sans"/>
          <w:sz w:val="22"/>
        </w:rPr>
        <w:t xml:space="preserve">recognise that </w:t>
      </w:r>
      <w:r>
        <w:rPr>
          <w:rFonts w:ascii="Public Sans" w:hAnsi="Public Sans"/>
          <w:sz w:val="22"/>
        </w:rPr>
        <w:t>section 35(2)</w:t>
      </w:r>
      <w:r w:rsidR="00AC1C9B">
        <w:rPr>
          <w:rFonts w:ascii="Public Sans" w:hAnsi="Public Sans"/>
          <w:sz w:val="22"/>
        </w:rPr>
        <w:t>(b)</w:t>
      </w:r>
      <w:r>
        <w:rPr>
          <w:rFonts w:ascii="Public Sans" w:hAnsi="Public Sans"/>
          <w:sz w:val="22"/>
        </w:rPr>
        <w:t xml:space="preserve"> of the Act provides for the regulations to be able to make provisions </w:t>
      </w:r>
      <w:r w:rsidR="00AC1C9B">
        <w:rPr>
          <w:rFonts w:ascii="Public Sans" w:hAnsi="Public Sans"/>
          <w:sz w:val="22"/>
        </w:rPr>
        <w:t xml:space="preserve">for ‘the manner in which the Commissioner is to deal with a report’, which could enable the ADC to capture the above additional actions we take on reports. However, in our view there would be merit in considering whether section 13(5) should be broadened to more accurately reflect the necessary actions of the ADC in relation to reports. </w:t>
      </w:r>
    </w:p>
    <w:p w:rsidR="00080E3F" w:rsidRDefault="00080E3F" w:rsidP="00910984">
      <w:pPr>
        <w:pStyle w:val="BodyText"/>
        <w:widowControl w:val="0"/>
        <w:spacing w:before="0" w:after="0" w:line="240" w:lineRule="auto"/>
        <w:rPr>
          <w:rFonts w:ascii="Public Sans" w:hAnsi="Public Sans"/>
          <w:sz w:val="22"/>
        </w:rPr>
      </w:pPr>
    </w:p>
    <w:p w:rsidR="00080E3F" w:rsidRDefault="00080E3F" w:rsidP="00910984">
      <w:pPr>
        <w:pStyle w:val="BodyText"/>
        <w:widowControl w:val="0"/>
        <w:spacing w:before="0" w:after="0" w:line="240" w:lineRule="auto"/>
        <w:rPr>
          <w:rFonts w:ascii="Public Sans" w:hAnsi="Public Sans"/>
          <w:sz w:val="22"/>
        </w:rPr>
      </w:pPr>
      <w:r>
        <w:rPr>
          <w:rFonts w:ascii="Public Sans" w:hAnsi="Public Sans"/>
          <w:sz w:val="22"/>
        </w:rPr>
        <w:t xml:space="preserve">We note that the recent independent review of the legislation governing the work of the Adult Safeguarding Unit (ASU) in South Australia </w:t>
      </w:r>
      <w:r w:rsidR="0091265B">
        <w:rPr>
          <w:rFonts w:ascii="Public Sans" w:hAnsi="Public Sans"/>
          <w:sz w:val="22"/>
        </w:rPr>
        <w:t>found</w:t>
      </w:r>
      <w:r>
        <w:rPr>
          <w:rFonts w:ascii="Public Sans" w:hAnsi="Public Sans"/>
          <w:sz w:val="22"/>
        </w:rPr>
        <w:t xml:space="preserve"> that the ASU ‘should have the flexibility to take the appropriate safeguarding response that is best tailored to the individual’s circumstance’,</w:t>
      </w:r>
      <w:r w:rsidR="00496C10">
        <w:rPr>
          <w:rStyle w:val="FootnoteReference"/>
          <w:rFonts w:ascii="Public Sans" w:hAnsi="Public Sans"/>
          <w:sz w:val="22"/>
        </w:rPr>
        <w:footnoteReference w:id="1"/>
      </w:r>
      <w:r>
        <w:rPr>
          <w:rFonts w:ascii="Public Sans" w:hAnsi="Public Sans"/>
          <w:sz w:val="22"/>
        </w:rPr>
        <w:t xml:space="preserve"> </w:t>
      </w:r>
      <w:r w:rsidR="00496C10">
        <w:rPr>
          <w:rFonts w:ascii="Public Sans" w:hAnsi="Public Sans"/>
          <w:sz w:val="22"/>
        </w:rPr>
        <w:t xml:space="preserve">and </w:t>
      </w:r>
      <w:r w:rsidR="0091265B">
        <w:rPr>
          <w:rFonts w:ascii="Public Sans" w:hAnsi="Public Sans"/>
          <w:sz w:val="22"/>
        </w:rPr>
        <w:t xml:space="preserve">recommended </w:t>
      </w:r>
      <w:r w:rsidR="00233B7B">
        <w:rPr>
          <w:rFonts w:ascii="Public Sans" w:hAnsi="Public Sans"/>
          <w:sz w:val="22"/>
        </w:rPr>
        <w:t>amending the legislation to increase flexibility and better reflect the work of the ASU.</w:t>
      </w:r>
      <w:r w:rsidR="00801272">
        <w:rPr>
          <w:rStyle w:val="FootnoteReference"/>
          <w:rFonts w:ascii="Public Sans" w:hAnsi="Public Sans"/>
          <w:sz w:val="22"/>
        </w:rPr>
        <w:footnoteReference w:id="2"/>
      </w:r>
      <w:r w:rsidR="00233B7B">
        <w:rPr>
          <w:rFonts w:ascii="Public Sans" w:hAnsi="Public Sans"/>
          <w:sz w:val="22"/>
        </w:rPr>
        <w:t xml:space="preserve"> </w:t>
      </w:r>
      <w:r w:rsidR="00496C10">
        <w:rPr>
          <w:rFonts w:ascii="Public Sans" w:hAnsi="Public Sans"/>
          <w:sz w:val="22"/>
        </w:rPr>
        <w:t xml:space="preserve"> </w:t>
      </w:r>
    </w:p>
    <w:p w:rsidR="006863C5" w:rsidRDefault="006863C5" w:rsidP="00910984">
      <w:pPr>
        <w:pStyle w:val="BodyText"/>
        <w:widowControl w:val="0"/>
        <w:spacing w:before="0" w:after="0" w:line="240" w:lineRule="auto"/>
        <w:rPr>
          <w:rFonts w:ascii="Public Sans" w:hAnsi="Public Sans"/>
          <w:sz w:val="22"/>
        </w:rPr>
      </w:pPr>
    </w:p>
    <w:p w:rsidR="006863C5" w:rsidRDefault="006863C5" w:rsidP="00910984">
      <w:pPr>
        <w:pStyle w:val="BodyText"/>
        <w:widowControl w:val="0"/>
        <w:spacing w:before="0" w:after="0" w:line="240" w:lineRule="auto"/>
        <w:rPr>
          <w:rFonts w:ascii="Public Sans" w:hAnsi="Public Sans"/>
          <w:sz w:val="22"/>
        </w:rPr>
      </w:pPr>
      <w:r>
        <w:rPr>
          <w:rFonts w:ascii="Public Sans" w:hAnsi="Public Sans"/>
          <w:sz w:val="22"/>
        </w:rPr>
        <w:t xml:space="preserve">In addition to </w:t>
      </w:r>
      <w:r w:rsidR="007F4429">
        <w:rPr>
          <w:rFonts w:ascii="Public Sans" w:hAnsi="Public Sans"/>
          <w:sz w:val="22"/>
        </w:rPr>
        <w:t>early case coordination and community supports</w:t>
      </w:r>
      <w:r>
        <w:rPr>
          <w:rFonts w:ascii="Public Sans" w:hAnsi="Public Sans"/>
          <w:sz w:val="22"/>
        </w:rPr>
        <w:t xml:space="preserve">, the ADC considers that there are two further </w:t>
      </w:r>
      <w:r w:rsidR="007F4429">
        <w:rPr>
          <w:rFonts w:ascii="Public Sans" w:hAnsi="Public Sans"/>
          <w:sz w:val="22"/>
        </w:rPr>
        <w:t xml:space="preserve">potential </w:t>
      </w:r>
      <w:r>
        <w:rPr>
          <w:rFonts w:ascii="Public Sans" w:hAnsi="Public Sans"/>
          <w:sz w:val="22"/>
        </w:rPr>
        <w:t>pathwa</w:t>
      </w:r>
      <w:r w:rsidR="00383EF3">
        <w:rPr>
          <w:rFonts w:ascii="Public Sans" w:hAnsi="Public Sans"/>
          <w:sz w:val="22"/>
        </w:rPr>
        <w:t>ys for dealing with</w:t>
      </w:r>
      <w:r w:rsidR="00361939">
        <w:rPr>
          <w:rFonts w:ascii="Public Sans" w:hAnsi="Public Sans"/>
          <w:sz w:val="22"/>
        </w:rPr>
        <w:t xml:space="preserve"> </w:t>
      </w:r>
      <w:r>
        <w:rPr>
          <w:rFonts w:ascii="Public Sans" w:hAnsi="Public Sans"/>
          <w:sz w:val="22"/>
        </w:rPr>
        <w:t xml:space="preserve">reports </w:t>
      </w:r>
      <w:r w:rsidR="001F60C0">
        <w:rPr>
          <w:rFonts w:ascii="Public Sans" w:hAnsi="Public Sans"/>
          <w:sz w:val="22"/>
        </w:rPr>
        <w:t xml:space="preserve">that there </w:t>
      </w:r>
      <w:r w:rsidR="005D55FD">
        <w:rPr>
          <w:rFonts w:ascii="Public Sans" w:hAnsi="Public Sans"/>
          <w:sz w:val="22"/>
        </w:rPr>
        <w:t xml:space="preserve">may </w:t>
      </w:r>
      <w:r w:rsidR="001F60C0">
        <w:rPr>
          <w:rFonts w:ascii="Public Sans" w:hAnsi="Public Sans"/>
          <w:sz w:val="22"/>
        </w:rPr>
        <w:t>be merit in including. Namely:</w:t>
      </w:r>
    </w:p>
    <w:p w:rsidR="001F60C0" w:rsidRDefault="001F60C0" w:rsidP="000866C5">
      <w:pPr>
        <w:pStyle w:val="BodyText"/>
        <w:widowControl w:val="0"/>
        <w:numPr>
          <w:ilvl w:val="0"/>
          <w:numId w:val="33"/>
        </w:numPr>
        <w:spacing w:after="0" w:line="240" w:lineRule="auto"/>
        <w:ind w:left="714" w:hanging="357"/>
        <w:rPr>
          <w:rFonts w:ascii="Public Sans" w:hAnsi="Public Sans"/>
          <w:sz w:val="22"/>
        </w:rPr>
      </w:pPr>
      <w:r w:rsidRPr="00C01EAD">
        <w:rPr>
          <w:rFonts w:ascii="Public Sans" w:hAnsi="Public Sans"/>
          <w:b/>
          <w:sz w:val="22"/>
        </w:rPr>
        <w:t>Conciliation</w:t>
      </w:r>
      <w:r>
        <w:rPr>
          <w:rFonts w:ascii="Public Sans" w:hAnsi="Public Sans"/>
          <w:sz w:val="22"/>
        </w:rPr>
        <w:t xml:space="preserve"> – involving the ADC help</w:t>
      </w:r>
      <w:r w:rsidR="005D55FD">
        <w:rPr>
          <w:rFonts w:ascii="Public Sans" w:hAnsi="Public Sans"/>
          <w:sz w:val="22"/>
        </w:rPr>
        <w:t>ing</w:t>
      </w:r>
      <w:r>
        <w:rPr>
          <w:rFonts w:ascii="Public Sans" w:hAnsi="Public Sans"/>
          <w:sz w:val="22"/>
        </w:rPr>
        <w:t xml:space="preserve"> the parties to the conciliation to endeavour to resolve </w:t>
      </w:r>
      <w:r w:rsidR="00C01EAD">
        <w:rPr>
          <w:rFonts w:ascii="Public Sans" w:hAnsi="Public Sans"/>
          <w:sz w:val="22"/>
        </w:rPr>
        <w:t>matters raised in the report</w:t>
      </w:r>
      <w:r w:rsidR="00BF2E8F">
        <w:rPr>
          <w:rFonts w:ascii="Public Sans" w:hAnsi="Public Sans"/>
          <w:sz w:val="22"/>
        </w:rPr>
        <w:t>, including the ability to require a party to attend the conciliation</w:t>
      </w:r>
      <w:r w:rsidR="00C01EAD">
        <w:rPr>
          <w:rFonts w:ascii="Public Sans" w:hAnsi="Public Sans"/>
          <w:sz w:val="22"/>
        </w:rPr>
        <w:t>.</w:t>
      </w:r>
      <w:r w:rsidR="007F4429">
        <w:rPr>
          <w:rFonts w:ascii="Public Sans" w:hAnsi="Public Sans"/>
          <w:sz w:val="22"/>
        </w:rPr>
        <w:t xml:space="preserve"> </w:t>
      </w:r>
      <w:r w:rsidR="00A07F93">
        <w:rPr>
          <w:rFonts w:ascii="Public Sans" w:hAnsi="Public Sans"/>
          <w:sz w:val="22"/>
        </w:rPr>
        <w:t>(</w:t>
      </w:r>
      <w:r w:rsidR="007F4429">
        <w:rPr>
          <w:rFonts w:ascii="Public Sans" w:hAnsi="Public Sans"/>
          <w:sz w:val="22"/>
        </w:rPr>
        <w:t xml:space="preserve">The </w:t>
      </w:r>
      <w:r w:rsidR="007F4429" w:rsidRPr="007F4429">
        <w:rPr>
          <w:rFonts w:ascii="Public Sans" w:hAnsi="Public Sans"/>
          <w:i/>
          <w:sz w:val="22"/>
        </w:rPr>
        <w:t>Human Rights Commission Act 2005</w:t>
      </w:r>
      <w:r w:rsidR="007F4429">
        <w:rPr>
          <w:rFonts w:ascii="Public Sans" w:hAnsi="Public Sans"/>
          <w:sz w:val="22"/>
        </w:rPr>
        <w:t xml:space="preserve"> </w:t>
      </w:r>
      <w:r w:rsidR="007F4429" w:rsidRPr="007F4429">
        <w:rPr>
          <w:rFonts w:ascii="Public Sans" w:hAnsi="Public Sans"/>
          <w:i/>
          <w:sz w:val="22"/>
        </w:rPr>
        <w:t>[ACT]</w:t>
      </w:r>
      <w:r w:rsidR="007F4429">
        <w:rPr>
          <w:rFonts w:ascii="Public Sans" w:hAnsi="Public Sans"/>
          <w:sz w:val="22"/>
        </w:rPr>
        <w:t xml:space="preserve"> provides an example of a relevant potential conciliation model).</w:t>
      </w:r>
      <w:r w:rsidR="005F15CC">
        <w:rPr>
          <w:rFonts w:ascii="Public Sans" w:hAnsi="Public Sans"/>
          <w:sz w:val="22"/>
        </w:rPr>
        <w:t xml:space="preserve"> </w:t>
      </w:r>
    </w:p>
    <w:p w:rsidR="00425370" w:rsidRDefault="001F60C0" w:rsidP="000866C5">
      <w:pPr>
        <w:pStyle w:val="BodyText"/>
        <w:widowControl w:val="0"/>
        <w:numPr>
          <w:ilvl w:val="0"/>
          <w:numId w:val="23"/>
        </w:numPr>
        <w:spacing w:after="0" w:line="240" w:lineRule="auto"/>
        <w:ind w:left="714" w:hanging="357"/>
        <w:rPr>
          <w:rFonts w:ascii="Public Sans" w:hAnsi="Public Sans"/>
          <w:sz w:val="22"/>
        </w:rPr>
      </w:pPr>
      <w:r>
        <w:rPr>
          <w:rFonts w:ascii="Public Sans" w:hAnsi="Public Sans"/>
          <w:b/>
          <w:sz w:val="22"/>
        </w:rPr>
        <w:t>Enforceable undertakings</w:t>
      </w:r>
      <w:r>
        <w:rPr>
          <w:rFonts w:ascii="Public Sans" w:hAnsi="Public Sans"/>
          <w:sz w:val="22"/>
        </w:rPr>
        <w:t xml:space="preserve"> – </w:t>
      </w:r>
      <w:r w:rsidR="00A967FE">
        <w:rPr>
          <w:rFonts w:ascii="Public Sans" w:hAnsi="Public Sans"/>
          <w:sz w:val="22"/>
        </w:rPr>
        <w:t>in</w:t>
      </w:r>
      <w:r w:rsidR="004A38A8">
        <w:rPr>
          <w:rFonts w:ascii="Public Sans" w:hAnsi="Public Sans"/>
          <w:sz w:val="22"/>
        </w:rPr>
        <w:t xml:space="preserve">volving a written agreement between the ADC and a </w:t>
      </w:r>
      <w:r w:rsidR="00A967FE" w:rsidRPr="004A38A8">
        <w:rPr>
          <w:rFonts w:ascii="Public Sans" w:hAnsi="Public Sans"/>
          <w:sz w:val="22"/>
        </w:rPr>
        <w:t xml:space="preserve">subject of allegation </w:t>
      </w:r>
      <w:r w:rsidR="00425370">
        <w:rPr>
          <w:rFonts w:ascii="Public Sans" w:hAnsi="Public Sans"/>
          <w:sz w:val="22"/>
        </w:rPr>
        <w:t>t</w:t>
      </w:r>
      <w:r w:rsidR="00861748">
        <w:rPr>
          <w:rFonts w:ascii="Public Sans" w:hAnsi="Public Sans"/>
          <w:sz w:val="22"/>
        </w:rPr>
        <w:t>hat outlines specific actions they will take to address matters raised in the report</w:t>
      </w:r>
      <w:r w:rsidR="00425370">
        <w:rPr>
          <w:rFonts w:ascii="Public Sans" w:hAnsi="Public Sans"/>
          <w:sz w:val="22"/>
        </w:rPr>
        <w:t xml:space="preserve">. Enforceable undertakings may form part of a conciliated outcome. </w:t>
      </w:r>
      <w:r w:rsidR="00361939">
        <w:rPr>
          <w:rFonts w:ascii="Public Sans" w:hAnsi="Public Sans"/>
          <w:sz w:val="22"/>
        </w:rPr>
        <w:t xml:space="preserve">There would be penalties for breaching the undertakings. </w:t>
      </w:r>
      <w:r w:rsidR="00A07F93">
        <w:rPr>
          <w:rFonts w:ascii="Public Sans" w:hAnsi="Public Sans"/>
          <w:sz w:val="22"/>
        </w:rPr>
        <w:t xml:space="preserve">Currently, in relevant matters the ADC reaches agreement with the subject of allegation about actions they will take, and may monitor compliance with the agreement. However, there are no penalties for breaching the agreement. </w:t>
      </w:r>
    </w:p>
    <w:p w:rsidR="00A967FE" w:rsidRDefault="00A967FE" w:rsidP="00910984">
      <w:pPr>
        <w:pStyle w:val="BodyText"/>
        <w:widowControl w:val="0"/>
        <w:spacing w:before="0" w:after="0" w:line="240" w:lineRule="auto"/>
        <w:rPr>
          <w:rFonts w:ascii="Public Sans" w:hAnsi="Public Sans"/>
          <w:b/>
          <w:sz w:val="22"/>
        </w:rPr>
      </w:pPr>
    </w:p>
    <w:p w:rsidR="00CC2983" w:rsidRPr="000830D8" w:rsidRDefault="00CC2983" w:rsidP="00910984">
      <w:pPr>
        <w:pStyle w:val="Heading5"/>
        <w:keepNext w:val="0"/>
        <w:keepLines w:val="0"/>
        <w:widowControl w:val="0"/>
        <w:spacing w:before="0"/>
        <w:rPr>
          <w:rFonts w:ascii="Public Sans" w:hAnsi="Public Sans"/>
          <w:b/>
          <w:color w:val="000000" w:themeColor="text1"/>
          <w:sz w:val="22"/>
        </w:rPr>
      </w:pPr>
      <w:r w:rsidRPr="000830D8">
        <w:rPr>
          <w:rFonts w:ascii="Public Sans" w:hAnsi="Public Sans"/>
          <w:b/>
          <w:color w:val="000000" w:themeColor="text1"/>
          <w:sz w:val="22"/>
        </w:rPr>
        <w:t>Referral of reports to complaint handling/ regulatory bodies</w:t>
      </w:r>
      <w:r w:rsidR="000F7607">
        <w:rPr>
          <w:rFonts w:ascii="Public Sans" w:hAnsi="Public Sans"/>
          <w:b/>
          <w:color w:val="000000" w:themeColor="text1"/>
          <w:sz w:val="22"/>
        </w:rPr>
        <w:t xml:space="preserve"> (section 13(8))</w:t>
      </w:r>
    </w:p>
    <w:p w:rsidR="00CC2983" w:rsidRDefault="009A29A4" w:rsidP="00910984">
      <w:pPr>
        <w:pStyle w:val="BodyText"/>
        <w:widowControl w:val="0"/>
        <w:spacing w:before="0" w:after="0" w:line="240" w:lineRule="auto"/>
        <w:rPr>
          <w:rFonts w:ascii="Public Sans" w:hAnsi="Public Sans"/>
          <w:sz w:val="22"/>
        </w:rPr>
      </w:pPr>
      <w:r>
        <w:rPr>
          <w:rFonts w:ascii="Public Sans" w:hAnsi="Public Sans"/>
          <w:sz w:val="22"/>
        </w:rPr>
        <w:t xml:space="preserve">The Act currently requires the ADC </w:t>
      </w:r>
      <w:r w:rsidR="00FE2C9F">
        <w:rPr>
          <w:rFonts w:ascii="Public Sans" w:hAnsi="Public Sans"/>
          <w:sz w:val="22"/>
        </w:rPr>
        <w:t>to refer reports</w:t>
      </w:r>
      <w:r>
        <w:rPr>
          <w:rFonts w:ascii="Public Sans" w:hAnsi="Public Sans"/>
          <w:sz w:val="22"/>
        </w:rPr>
        <w:t xml:space="preserve"> to the Health Care Complaints Commission (HCCC), Aged Care Commission, NDIS Commission, and the Children’s Guardian where we are of the opinion t</w:t>
      </w:r>
      <w:r w:rsidR="00FE2C9F">
        <w:rPr>
          <w:rFonts w:ascii="Public Sans" w:hAnsi="Public Sans"/>
          <w:sz w:val="22"/>
        </w:rPr>
        <w:t>hat the report</w:t>
      </w:r>
      <w:r>
        <w:rPr>
          <w:rFonts w:ascii="Public Sans" w:hAnsi="Public Sans"/>
          <w:sz w:val="22"/>
        </w:rPr>
        <w:t xml:space="preserve"> constitutes a complaint that may be made to those agencies (section 13(8)). There is no discretion </w:t>
      </w:r>
      <w:r w:rsidR="00673AD9">
        <w:rPr>
          <w:rFonts w:ascii="Public Sans" w:hAnsi="Public Sans"/>
          <w:sz w:val="22"/>
        </w:rPr>
        <w:t xml:space="preserve">in the Act </w:t>
      </w:r>
      <w:r>
        <w:rPr>
          <w:rFonts w:ascii="Public Sans" w:hAnsi="Public Sans"/>
          <w:sz w:val="22"/>
        </w:rPr>
        <w:t>for the ADC not to directly refer those matters to the relevant agency</w:t>
      </w:r>
      <w:r w:rsidR="00673AD9">
        <w:rPr>
          <w:rFonts w:ascii="Public Sans" w:hAnsi="Public Sans"/>
          <w:sz w:val="22"/>
        </w:rPr>
        <w:t>. This means t</w:t>
      </w:r>
      <w:r w:rsidR="00FE2C9F">
        <w:rPr>
          <w:rFonts w:ascii="Public Sans" w:hAnsi="Public Sans"/>
          <w:sz w:val="22"/>
        </w:rPr>
        <w:t xml:space="preserve">hat the ADC is having to make </w:t>
      </w:r>
      <w:r w:rsidR="00673AD9">
        <w:rPr>
          <w:rFonts w:ascii="Public Sans" w:hAnsi="Public Sans"/>
          <w:sz w:val="22"/>
        </w:rPr>
        <w:t>direct referral</w:t>
      </w:r>
      <w:r w:rsidR="00FE2C9F">
        <w:rPr>
          <w:rFonts w:ascii="Public Sans" w:hAnsi="Public Sans"/>
          <w:sz w:val="22"/>
        </w:rPr>
        <w:t>s of</w:t>
      </w:r>
      <w:r w:rsidR="00673AD9">
        <w:rPr>
          <w:rFonts w:ascii="Public Sans" w:hAnsi="Public Sans"/>
          <w:sz w:val="22"/>
        </w:rPr>
        <w:t xml:space="preserve"> report</w:t>
      </w:r>
      <w:r w:rsidR="00FE2C9F">
        <w:rPr>
          <w:rFonts w:ascii="Public Sans" w:hAnsi="Public Sans"/>
          <w:sz w:val="22"/>
        </w:rPr>
        <w:t>s to the agenc</w:t>
      </w:r>
      <w:r w:rsidR="00673AD9">
        <w:rPr>
          <w:rFonts w:ascii="Public Sans" w:hAnsi="Public Sans"/>
          <w:sz w:val="22"/>
        </w:rPr>
        <w:t>ies</w:t>
      </w:r>
      <w:r w:rsidR="00FE2C9F">
        <w:rPr>
          <w:rFonts w:ascii="Public Sans" w:hAnsi="Public Sans"/>
          <w:sz w:val="22"/>
        </w:rPr>
        <w:t>,</w:t>
      </w:r>
      <w:r w:rsidR="00673AD9">
        <w:rPr>
          <w:rFonts w:ascii="Public Sans" w:hAnsi="Public Sans"/>
          <w:sz w:val="22"/>
        </w:rPr>
        <w:t xml:space="preserve"> irrespective of the wishes of the reporter. </w:t>
      </w:r>
    </w:p>
    <w:p w:rsidR="00673AD9" w:rsidRDefault="00673AD9" w:rsidP="00910984">
      <w:pPr>
        <w:pStyle w:val="BodyText"/>
        <w:widowControl w:val="0"/>
        <w:spacing w:before="0" w:after="0" w:line="240" w:lineRule="auto"/>
        <w:rPr>
          <w:rFonts w:ascii="Public Sans" w:hAnsi="Public Sans"/>
          <w:sz w:val="22"/>
        </w:rPr>
      </w:pPr>
    </w:p>
    <w:p w:rsidR="003E19DB" w:rsidRDefault="00051E37" w:rsidP="00910984">
      <w:pPr>
        <w:pStyle w:val="BodyText"/>
        <w:widowControl w:val="0"/>
        <w:spacing w:before="0" w:after="0" w:line="240" w:lineRule="auto"/>
        <w:rPr>
          <w:rFonts w:ascii="Public Sans" w:hAnsi="Public Sans"/>
          <w:sz w:val="22"/>
        </w:rPr>
      </w:pPr>
      <w:r>
        <w:rPr>
          <w:rFonts w:ascii="Public Sans" w:hAnsi="Public Sans"/>
          <w:sz w:val="22"/>
        </w:rPr>
        <w:t>In</w:t>
      </w:r>
      <w:r w:rsidR="003E19DB">
        <w:rPr>
          <w:rFonts w:ascii="Public Sans" w:hAnsi="Public Sans"/>
          <w:sz w:val="22"/>
        </w:rPr>
        <w:t xml:space="preserve"> a range of cases, we make a warm referral via telephone while the reporter is on the line. However, if the reporter does not want a warm referral, or the agency </w:t>
      </w:r>
      <w:r w:rsidR="003A3EBD">
        <w:rPr>
          <w:rFonts w:ascii="Public Sans" w:hAnsi="Public Sans"/>
          <w:sz w:val="22"/>
        </w:rPr>
        <w:t>is not available to</w:t>
      </w:r>
      <w:r w:rsidR="003E19DB">
        <w:rPr>
          <w:rFonts w:ascii="Public Sans" w:hAnsi="Public Sans"/>
          <w:sz w:val="22"/>
        </w:rPr>
        <w:t xml:space="preserve"> pick up the call, the </w:t>
      </w:r>
      <w:r>
        <w:rPr>
          <w:rFonts w:ascii="Public Sans" w:hAnsi="Public Sans"/>
          <w:sz w:val="22"/>
        </w:rPr>
        <w:t>Helpline</w:t>
      </w:r>
      <w:r w:rsidR="003E19DB">
        <w:rPr>
          <w:rFonts w:ascii="Public Sans" w:hAnsi="Public Sans"/>
          <w:sz w:val="22"/>
        </w:rPr>
        <w:t xml:space="preserve"> makes a written referral of </w:t>
      </w:r>
      <w:r>
        <w:rPr>
          <w:rFonts w:ascii="Public Sans" w:hAnsi="Public Sans"/>
          <w:sz w:val="22"/>
        </w:rPr>
        <w:t>all of the relevant</w:t>
      </w:r>
      <w:r w:rsidR="003E19DB">
        <w:rPr>
          <w:rFonts w:ascii="Public Sans" w:hAnsi="Public Sans"/>
          <w:sz w:val="22"/>
        </w:rPr>
        <w:t xml:space="preserve"> information to the agency. </w:t>
      </w:r>
      <w:r w:rsidR="003A3EBD">
        <w:rPr>
          <w:rFonts w:ascii="Public Sans" w:hAnsi="Public Sans"/>
          <w:sz w:val="22"/>
        </w:rPr>
        <w:t xml:space="preserve">Given the volume of calls and reports to the Helpline, the investment of time to prepare and send the written referrals, in circumstances in which the reporter has indicated they do not want the ADC to make the referral or are able to make the referral themselves, </w:t>
      </w:r>
      <w:r w:rsidR="00BE6696">
        <w:rPr>
          <w:rFonts w:ascii="Public Sans" w:hAnsi="Public Sans"/>
          <w:sz w:val="22"/>
        </w:rPr>
        <w:t xml:space="preserve">does not appear </w:t>
      </w:r>
      <w:r w:rsidR="00A07F93">
        <w:rPr>
          <w:rFonts w:ascii="Public Sans" w:hAnsi="Public Sans"/>
          <w:sz w:val="22"/>
        </w:rPr>
        <w:t xml:space="preserve">to be </w:t>
      </w:r>
      <w:r w:rsidR="00BE6696">
        <w:rPr>
          <w:rFonts w:ascii="Public Sans" w:hAnsi="Public Sans"/>
          <w:sz w:val="22"/>
        </w:rPr>
        <w:t xml:space="preserve">warranted. </w:t>
      </w:r>
    </w:p>
    <w:p w:rsidR="000168D4" w:rsidRDefault="000168D4" w:rsidP="00910984">
      <w:pPr>
        <w:pStyle w:val="BodyText"/>
        <w:widowControl w:val="0"/>
        <w:spacing w:before="0" w:after="0" w:line="240" w:lineRule="auto"/>
        <w:rPr>
          <w:rFonts w:ascii="Public Sans" w:hAnsi="Public Sans"/>
          <w:sz w:val="22"/>
        </w:rPr>
      </w:pPr>
    </w:p>
    <w:p w:rsidR="00FE2C9F" w:rsidRDefault="00FE2C9F" w:rsidP="00910984">
      <w:pPr>
        <w:pStyle w:val="BodyText"/>
        <w:widowControl w:val="0"/>
        <w:spacing w:before="0" w:after="0" w:line="240" w:lineRule="auto"/>
        <w:rPr>
          <w:rFonts w:ascii="Public Sans" w:hAnsi="Public Sans"/>
          <w:sz w:val="22"/>
        </w:rPr>
      </w:pPr>
      <w:r>
        <w:rPr>
          <w:rFonts w:ascii="Public Sans" w:hAnsi="Public Sans"/>
          <w:sz w:val="22"/>
        </w:rPr>
        <w:t xml:space="preserve">More broadly, the ADC has a ‘no wrong door’ approach – if we receive a report that relates to matters that are under the jurisdiction of another agency and the reporter needs or would like assistance to get the matter to the right place, we </w:t>
      </w:r>
      <w:r w:rsidR="000168D4">
        <w:rPr>
          <w:rFonts w:ascii="Public Sans" w:hAnsi="Public Sans"/>
          <w:sz w:val="22"/>
        </w:rPr>
        <w:t>do so</w:t>
      </w:r>
      <w:r>
        <w:rPr>
          <w:rFonts w:ascii="Public Sans" w:hAnsi="Public Sans"/>
          <w:sz w:val="22"/>
        </w:rPr>
        <w:t xml:space="preserve">. </w:t>
      </w:r>
      <w:r w:rsidR="000168D4">
        <w:rPr>
          <w:rFonts w:ascii="Public Sans" w:hAnsi="Public Sans"/>
          <w:sz w:val="22"/>
        </w:rPr>
        <w:t xml:space="preserve">The difference with the agencies captured under section 13(8) is that there is no option to take into account and respect the wishes of the reporter. </w:t>
      </w:r>
    </w:p>
    <w:p w:rsidR="00FE2C9F" w:rsidRDefault="00FE2C9F" w:rsidP="00910984">
      <w:pPr>
        <w:pStyle w:val="BodyText"/>
        <w:widowControl w:val="0"/>
        <w:spacing w:before="0" w:after="0" w:line="240" w:lineRule="auto"/>
        <w:rPr>
          <w:rFonts w:ascii="Public Sans" w:hAnsi="Public Sans"/>
          <w:sz w:val="22"/>
        </w:rPr>
      </w:pPr>
    </w:p>
    <w:p w:rsidR="00E157EB" w:rsidRDefault="00E157EB" w:rsidP="00910984">
      <w:pPr>
        <w:pStyle w:val="BodyText"/>
        <w:widowControl w:val="0"/>
        <w:spacing w:before="0" w:after="0" w:line="240" w:lineRule="auto"/>
        <w:rPr>
          <w:rFonts w:ascii="Public Sans" w:hAnsi="Public Sans"/>
          <w:sz w:val="22"/>
        </w:rPr>
      </w:pPr>
      <w:r>
        <w:rPr>
          <w:rFonts w:ascii="Public Sans" w:hAnsi="Public Sans"/>
          <w:sz w:val="22"/>
        </w:rPr>
        <w:t xml:space="preserve">We recognise that there are good reasons for the ADC to ensure that certain matters are referred to the listed agencies – in particular, information relating to high risk, and current or recent abuse. Amending the provision to ‘may refer’ instead of ‘must refer’ would still ensure that critical matters are referred </w:t>
      </w:r>
      <w:r w:rsidR="001265ED">
        <w:rPr>
          <w:rFonts w:ascii="Public Sans" w:hAnsi="Public Sans"/>
          <w:sz w:val="22"/>
        </w:rPr>
        <w:t xml:space="preserve">by the ADC </w:t>
      </w:r>
      <w:r>
        <w:rPr>
          <w:rFonts w:ascii="Public Sans" w:hAnsi="Public Sans"/>
          <w:sz w:val="22"/>
        </w:rPr>
        <w:t>to the listed agencies, while providing some flexib</w:t>
      </w:r>
      <w:r w:rsidR="001265ED">
        <w:rPr>
          <w:rFonts w:ascii="Public Sans" w:hAnsi="Public Sans"/>
          <w:sz w:val="22"/>
        </w:rPr>
        <w:t xml:space="preserve">ility for the ADC not to be the direct referrer in lower-level matters where the reporter indicates a preference to separately contact the relevant agency. </w:t>
      </w:r>
      <w:r w:rsidR="003E36A8">
        <w:rPr>
          <w:rFonts w:ascii="Public Sans" w:hAnsi="Public Sans"/>
          <w:sz w:val="22"/>
        </w:rPr>
        <w:t xml:space="preserve">Pursuant to section 13(10), the ADC would still have the option to conduct an investigation into a report it has referred to the listed agencies if </w:t>
      </w:r>
      <w:r w:rsidR="000830D8">
        <w:rPr>
          <w:rFonts w:ascii="Public Sans" w:hAnsi="Public Sans"/>
          <w:sz w:val="22"/>
        </w:rPr>
        <w:t xml:space="preserve">we are </w:t>
      </w:r>
      <w:r w:rsidR="003E36A8">
        <w:rPr>
          <w:rFonts w:ascii="Public Sans" w:hAnsi="Public Sans"/>
          <w:sz w:val="22"/>
        </w:rPr>
        <w:t xml:space="preserve">of the opinion that this may be necessary to protect an adult with disability or older person from abuse, neglect or exploitation. </w:t>
      </w:r>
    </w:p>
    <w:p w:rsidR="00E157EB" w:rsidRDefault="00E157EB" w:rsidP="00910984">
      <w:pPr>
        <w:pStyle w:val="BodyText"/>
        <w:widowControl w:val="0"/>
        <w:spacing w:before="0" w:after="0" w:line="240" w:lineRule="auto"/>
        <w:rPr>
          <w:rFonts w:ascii="Public Sans" w:hAnsi="Public Sans"/>
          <w:sz w:val="22"/>
        </w:rPr>
      </w:pPr>
    </w:p>
    <w:p w:rsidR="009A29A4" w:rsidRPr="000830D8" w:rsidRDefault="00EC4416" w:rsidP="00910984">
      <w:pPr>
        <w:pStyle w:val="Heading5"/>
        <w:keepNext w:val="0"/>
        <w:keepLines w:val="0"/>
        <w:widowControl w:val="0"/>
        <w:spacing w:before="0"/>
        <w:rPr>
          <w:rFonts w:ascii="Public Sans" w:hAnsi="Public Sans"/>
          <w:b/>
          <w:color w:val="000000" w:themeColor="text1"/>
          <w:sz w:val="22"/>
        </w:rPr>
      </w:pPr>
      <w:r w:rsidRPr="000830D8">
        <w:rPr>
          <w:rFonts w:ascii="Public Sans" w:hAnsi="Public Sans"/>
          <w:b/>
          <w:color w:val="000000" w:themeColor="text1"/>
          <w:sz w:val="22"/>
        </w:rPr>
        <w:t xml:space="preserve">Referral of reports to Police </w:t>
      </w:r>
      <w:r w:rsidR="000F7607">
        <w:rPr>
          <w:rFonts w:ascii="Public Sans" w:hAnsi="Public Sans"/>
          <w:b/>
          <w:color w:val="000000" w:themeColor="text1"/>
          <w:sz w:val="22"/>
        </w:rPr>
        <w:t>(section 13(9))</w:t>
      </w:r>
    </w:p>
    <w:p w:rsidR="00EC4416" w:rsidRDefault="000830D8" w:rsidP="00910984">
      <w:pPr>
        <w:pStyle w:val="BodyText"/>
        <w:widowControl w:val="0"/>
        <w:spacing w:before="0" w:after="0" w:line="240" w:lineRule="auto"/>
        <w:rPr>
          <w:rFonts w:ascii="Public Sans" w:hAnsi="Public Sans"/>
          <w:sz w:val="22"/>
        </w:rPr>
      </w:pPr>
      <w:r>
        <w:rPr>
          <w:rFonts w:ascii="Public Sans" w:hAnsi="Public Sans"/>
          <w:sz w:val="22"/>
        </w:rPr>
        <w:t xml:space="preserve">Section 13(9) of the Act requires that, if the ADC receives a report (or part thereof) that may provide evidence of the commission of a criminal offence, we </w:t>
      </w:r>
      <w:r w:rsidRPr="000830D8">
        <w:rPr>
          <w:rFonts w:ascii="Public Sans" w:hAnsi="Public Sans"/>
          <w:b/>
          <w:sz w:val="22"/>
        </w:rPr>
        <w:t>must</w:t>
      </w:r>
      <w:r>
        <w:rPr>
          <w:rFonts w:ascii="Public Sans" w:hAnsi="Public Sans"/>
          <w:sz w:val="22"/>
        </w:rPr>
        <w:t xml:space="preserve"> refer the report (or part) to NSW Police or the Director of Public Prosecutions (DPP). </w:t>
      </w:r>
    </w:p>
    <w:p w:rsidR="009A29A4" w:rsidRDefault="009A29A4" w:rsidP="00910984">
      <w:pPr>
        <w:pStyle w:val="BodyText"/>
        <w:widowControl w:val="0"/>
        <w:spacing w:before="0" w:after="0" w:line="240" w:lineRule="auto"/>
        <w:rPr>
          <w:rFonts w:ascii="Public Sans" w:hAnsi="Public Sans"/>
          <w:sz w:val="22"/>
        </w:rPr>
      </w:pPr>
    </w:p>
    <w:p w:rsidR="00F333EC" w:rsidRDefault="00DC4C71" w:rsidP="00910984">
      <w:pPr>
        <w:pStyle w:val="BodyText"/>
        <w:widowControl w:val="0"/>
        <w:spacing w:before="0" w:after="0" w:line="240" w:lineRule="auto"/>
        <w:rPr>
          <w:rFonts w:ascii="Public Sans" w:hAnsi="Public Sans"/>
          <w:sz w:val="22"/>
        </w:rPr>
      </w:pPr>
      <w:r>
        <w:rPr>
          <w:rFonts w:ascii="Public Sans" w:hAnsi="Public Sans"/>
          <w:sz w:val="22"/>
        </w:rPr>
        <w:t>Compl</w:t>
      </w:r>
      <w:r w:rsidR="009058F5">
        <w:rPr>
          <w:rFonts w:ascii="Public Sans" w:hAnsi="Public Sans"/>
          <w:sz w:val="22"/>
        </w:rPr>
        <w:t>ying</w:t>
      </w:r>
      <w:r>
        <w:rPr>
          <w:rFonts w:ascii="Public Sans" w:hAnsi="Public Sans"/>
          <w:sz w:val="22"/>
        </w:rPr>
        <w:t xml:space="preserve"> with this </w:t>
      </w:r>
      <w:r w:rsidR="00BE6794">
        <w:rPr>
          <w:rFonts w:ascii="Public Sans" w:hAnsi="Public Sans"/>
          <w:sz w:val="22"/>
        </w:rPr>
        <w:t>mandatory requirement</w:t>
      </w:r>
      <w:r>
        <w:rPr>
          <w:rFonts w:ascii="Public Sans" w:hAnsi="Public Sans"/>
          <w:sz w:val="22"/>
        </w:rPr>
        <w:t xml:space="preserve"> has presented some difficulties for the ADC and for </w:t>
      </w:r>
      <w:r w:rsidR="00BE6794">
        <w:rPr>
          <w:rFonts w:ascii="Public Sans" w:hAnsi="Public Sans"/>
          <w:sz w:val="22"/>
        </w:rPr>
        <w:t xml:space="preserve">some of </w:t>
      </w:r>
      <w:r>
        <w:rPr>
          <w:rFonts w:ascii="Public Sans" w:hAnsi="Public Sans"/>
          <w:sz w:val="22"/>
        </w:rPr>
        <w:t xml:space="preserve">the adults with disability/ older people </w:t>
      </w:r>
      <w:r w:rsidR="00BE6794">
        <w:rPr>
          <w:rFonts w:ascii="Public Sans" w:hAnsi="Public Sans"/>
          <w:sz w:val="22"/>
        </w:rPr>
        <w:t>in the repor</w:t>
      </w:r>
      <w:r>
        <w:rPr>
          <w:rFonts w:ascii="Public Sans" w:hAnsi="Public Sans"/>
          <w:sz w:val="22"/>
        </w:rPr>
        <w:t>t</w:t>
      </w:r>
      <w:r w:rsidR="00BE6794">
        <w:rPr>
          <w:rFonts w:ascii="Public Sans" w:hAnsi="Public Sans"/>
          <w:sz w:val="22"/>
        </w:rPr>
        <w:t>s</w:t>
      </w:r>
      <w:r>
        <w:rPr>
          <w:rFonts w:ascii="Public Sans" w:hAnsi="Public Sans"/>
          <w:sz w:val="22"/>
        </w:rPr>
        <w:t xml:space="preserve">. </w:t>
      </w:r>
      <w:r w:rsidR="00BE6794">
        <w:rPr>
          <w:rFonts w:ascii="Public Sans" w:hAnsi="Public Sans"/>
          <w:sz w:val="22"/>
        </w:rPr>
        <w:t>In particular</w:t>
      </w:r>
      <w:r w:rsidR="0070402A">
        <w:rPr>
          <w:rFonts w:ascii="Public Sans" w:hAnsi="Public Sans"/>
          <w:sz w:val="22"/>
        </w:rPr>
        <w:t>, it has resulted in matters being reported to police against the wishes of the adult, and duplication of effort</w:t>
      </w:r>
      <w:r w:rsidR="00022FFC">
        <w:rPr>
          <w:rFonts w:ascii="Public Sans" w:hAnsi="Public Sans"/>
          <w:sz w:val="22"/>
        </w:rPr>
        <w:t xml:space="preserve"> for the ADC and police</w:t>
      </w:r>
      <w:r w:rsidR="0070402A">
        <w:rPr>
          <w:rFonts w:ascii="Public Sans" w:hAnsi="Public Sans"/>
          <w:sz w:val="22"/>
        </w:rPr>
        <w:t xml:space="preserve">. </w:t>
      </w:r>
    </w:p>
    <w:p w:rsidR="00496C10" w:rsidRDefault="00496C10" w:rsidP="00910984">
      <w:pPr>
        <w:pStyle w:val="BodyText"/>
        <w:widowControl w:val="0"/>
        <w:spacing w:before="0" w:after="0" w:line="240" w:lineRule="auto"/>
      </w:pPr>
    </w:p>
    <w:p w:rsidR="00BE6794" w:rsidRDefault="0070402A" w:rsidP="00910984">
      <w:pPr>
        <w:pStyle w:val="BodyText"/>
        <w:widowControl w:val="0"/>
        <w:spacing w:before="0" w:after="0" w:line="240" w:lineRule="auto"/>
        <w:rPr>
          <w:rFonts w:ascii="Public Sans" w:hAnsi="Public Sans"/>
          <w:sz w:val="22"/>
        </w:rPr>
      </w:pPr>
      <w:r>
        <w:rPr>
          <w:rFonts w:ascii="Public Sans" w:hAnsi="Public Sans"/>
          <w:sz w:val="22"/>
        </w:rPr>
        <w:t xml:space="preserve">In this regard, we note that </w:t>
      </w:r>
      <w:r w:rsidR="009058F5">
        <w:rPr>
          <w:rFonts w:ascii="Public Sans" w:hAnsi="Public Sans"/>
          <w:sz w:val="22"/>
        </w:rPr>
        <w:t xml:space="preserve">to comply with the legislative provision, </w:t>
      </w:r>
      <w:r>
        <w:rPr>
          <w:rFonts w:ascii="Public Sans" w:hAnsi="Public Sans"/>
          <w:sz w:val="22"/>
        </w:rPr>
        <w:t xml:space="preserve">the ADC </w:t>
      </w:r>
      <w:r w:rsidR="009058F5">
        <w:rPr>
          <w:rFonts w:ascii="Public Sans" w:hAnsi="Public Sans"/>
          <w:sz w:val="22"/>
        </w:rPr>
        <w:t>refer</w:t>
      </w:r>
      <w:r w:rsidR="00F333EC">
        <w:rPr>
          <w:rFonts w:ascii="Public Sans" w:hAnsi="Public Sans"/>
          <w:sz w:val="22"/>
        </w:rPr>
        <w:t>s</w:t>
      </w:r>
      <w:r w:rsidR="009058F5">
        <w:rPr>
          <w:rFonts w:ascii="Public Sans" w:hAnsi="Public Sans"/>
          <w:sz w:val="22"/>
        </w:rPr>
        <w:t xml:space="preserve"> information to NSW Police irrespective of whether:</w:t>
      </w:r>
    </w:p>
    <w:p w:rsidR="0070402A" w:rsidRPr="0070402A" w:rsidRDefault="0070402A" w:rsidP="000866C5">
      <w:pPr>
        <w:pStyle w:val="ListParagraph0"/>
        <w:widowControl w:val="0"/>
        <w:numPr>
          <w:ilvl w:val="0"/>
          <w:numId w:val="27"/>
        </w:numPr>
        <w:spacing w:before="60" w:after="0" w:line="240" w:lineRule="auto"/>
        <w:rPr>
          <w:rFonts w:ascii="Public Sans" w:hAnsi="Public Sans" w:cs="Segoe UI"/>
          <w:sz w:val="22"/>
        </w:rPr>
      </w:pPr>
      <w:r w:rsidRPr="0070402A">
        <w:rPr>
          <w:rFonts w:ascii="Public Sans" w:hAnsi="Public Sans" w:cs="Segoe UI"/>
          <w:sz w:val="22"/>
        </w:rPr>
        <w:t>the adult with disability or older person has indicated that they do not want the matter to be reported to police</w:t>
      </w:r>
    </w:p>
    <w:p w:rsidR="0070402A" w:rsidRPr="0070402A" w:rsidRDefault="009058F5" w:rsidP="000866C5">
      <w:pPr>
        <w:pStyle w:val="ListParagraph0"/>
        <w:widowControl w:val="0"/>
        <w:numPr>
          <w:ilvl w:val="0"/>
          <w:numId w:val="27"/>
        </w:numPr>
        <w:spacing w:before="60" w:after="0" w:line="240" w:lineRule="auto"/>
        <w:rPr>
          <w:rFonts w:ascii="Public Sans" w:hAnsi="Public Sans" w:cs="Segoe UI"/>
          <w:sz w:val="22"/>
        </w:rPr>
      </w:pPr>
      <w:r>
        <w:rPr>
          <w:rFonts w:ascii="Public Sans" w:hAnsi="Public Sans" w:cs="Segoe UI"/>
          <w:sz w:val="22"/>
        </w:rPr>
        <w:t>NSW Police</w:t>
      </w:r>
      <w:r w:rsidR="0070402A" w:rsidRPr="0070402A">
        <w:rPr>
          <w:rFonts w:ascii="Public Sans" w:hAnsi="Public Sans" w:cs="Segoe UI"/>
          <w:sz w:val="22"/>
        </w:rPr>
        <w:t xml:space="preserve"> ha</w:t>
      </w:r>
      <w:r>
        <w:rPr>
          <w:rFonts w:ascii="Public Sans" w:hAnsi="Public Sans" w:cs="Segoe UI"/>
          <w:sz w:val="22"/>
        </w:rPr>
        <w:t>s</w:t>
      </w:r>
      <w:r w:rsidR="0070402A" w:rsidRPr="0070402A">
        <w:rPr>
          <w:rFonts w:ascii="Public Sans" w:hAnsi="Public Sans" w:cs="Segoe UI"/>
          <w:sz w:val="22"/>
        </w:rPr>
        <w:t xml:space="preserve"> already received a report about the alleged commission of the criminal offence and has all of the relevant information </w:t>
      </w:r>
    </w:p>
    <w:p w:rsidR="0070402A" w:rsidRPr="0070402A" w:rsidRDefault="0070402A" w:rsidP="000866C5">
      <w:pPr>
        <w:pStyle w:val="ListParagraph0"/>
        <w:widowControl w:val="0"/>
        <w:numPr>
          <w:ilvl w:val="0"/>
          <w:numId w:val="27"/>
        </w:numPr>
        <w:spacing w:before="60" w:after="0" w:line="240" w:lineRule="auto"/>
        <w:rPr>
          <w:rFonts w:ascii="Public Sans" w:hAnsi="Public Sans" w:cs="Segoe UI"/>
          <w:sz w:val="22"/>
        </w:rPr>
      </w:pPr>
      <w:r w:rsidRPr="0070402A">
        <w:rPr>
          <w:rFonts w:ascii="Public Sans" w:hAnsi="Public Sans" w:cs="Segoe UI"/>
          <w:sz w:val="22"/>
        </w:rPr>
        <w:t>the alleged commission of the criminal offence relates to historical matters that have been previously dealt with by NSW</w:t>
      </w:r>
      <w:r w:rsidR="009058F5">
        <w:rPr>
          <w:rFonts w:ascii="Public Sans" w:hAnsi="Public Sans" w:cs="Segoe UI"/>
          <w:sz w:val="22"/>
        </w:rPr>
        <w:t xml:space="preserve"> </w:t>
      </w:r>
      <w:r w:rsidRPr="0070402A">
        <w:rPr>
          <w:rFonts w:ascii="Public Sans" w:hAnsi="Public Sans" w:cs="Segoe UI"/>
          <w:sz w:val="22"/>
        </w:rPr>
        <w:t>P</w:t>
      </w:r>
      <w:r w:rsidR="009058F5">
        <w:rPr>
          <w:rFonts w:ascii="Public Sans" w:hAnsi="Public Sans" w:cs="Segoe UI"/>
          <w:sz w:val="22"/>
        </w:rPr>
        <w:t>olice</w:t>
      </w:r>
    </w:p>
    <w:p w:rsidR="00514CCC" w:rsidRPr="00483EA3" w:rsidRDefault="0070402A" w:rsidP="000866C5">
      <w:pPr>
        <w:pStyle w:val="ListParagraph0"/>
        <w:widowControl w:val="0"/>
        <w:numPr>
          <w:ilvl w:val="0"/>
          <w:numId w:val="26"/>
        </w:numPr>
        <w:spacing w:before="60" w:after="0" w:line="240" w:lineRule="auto"/>
        <w:ind w:left="714" w:hanging="357"/>
        <w:rPr>
          <w:rFonts w:ascii="Public Sans" w:hAnsi="Public Sans" w:cs="Segoe UI"/>
        </w:rPr>
      </w:pPr>
      <w:r w:rsidRPr="0070402A">
        <w:rPr>
          <w:rFonts w:ascii="Public Sans" w:hAnsi="Public Sans" w:cs="Segoe UI"/>
          <w:sz w:val="22"/>
        </w:rPr>
        <w:t xml:space="preserve">the alleged criminal offence relates to relatively minor matters (such as a family member pushed the adult, causing no injury; a person threw an </w:t>
      </w:r>
      <w:r w:rsidR="009058F5">
        <w:rPr>
          <w:rFonts w:ascii="Public Sans" w:hAnsi="Public Sans" w:cs="Segoe UI"/>
          <w:sz w:val="22"/>
        </w:rPr>
        <w:t>object at the adult</w:t>
      </w:r>
      <w:r w:rsidR="00483EA3">
        <w:rPr>
          <w:rFonts w:ascii="Public Sans" w:hAnsi="Public Sans" w:cs="Segoe UI"/>
          <w:sz w:val="22"/>
        </w:rPr>
        <w:t xml:space="preserve"> </w:t>
      </w:r>
      <w:r w:rsidR="00483EA3" w:rsidRPr="00483EA3">
        <w:rPr>
          <w:rFonts w:ascii="Public Sans" w:hAnsi="Public Sans" w:cs="Segoe UI"/>
          <w:sz w:val="22"/>
        </w:rPr>
        <w:t>such as a remote control, that did not hit them)</w:t>
      </w:r>
      <w:r w:rsidR="00483EA3">
        <w:rPr>
          <w:rFonts w:ascii="Public Sans" w:hAnsi="Public Sans" w:cs="Segoe UI"/>
          <w:sz w:val="22"/>
        </w:rPr>
        <w:t xml:space="preserve">. </w:t>
      </w:r>
    </w:p>
    <w:p w:rsidR="000830D8" w:rsidRDefault="000830D8" w:rsidP="00910984">
      <w:pPr>
        <w:pStyle w:val="BodyText"/>
        <w:widowControl w:val="0"/>
        <w:spacing w:before="0" w:after="0" w:line="240" w:lineRule="auto"/>
        <w:rPr>
          <w:rFonts w:ascii="Public Sans" w:hAnsi="Public Sans"/>
          <w:sz w:val="22"/>
        </w:rPr>
      </w:pPr>
    </w:p>
    <w:p w:rsidR="00513871" w:rsidRDefault="00E36F07" w:rsidP="00910984">
      <w:pPr>
        <w:pStyle w:val="BodyText"/>
        <w:widowControl w:val="0"/>
        <w:spacing w:before="0" w:after="0" w:line="240" w:lineRule="auto"/>
        <w:rPr>
          <w:rFonts w:ascii="Public Sans" w:hAnsi="Public Sans"/>
          <w:sz w:val="22"/>
        </w:rPr>
      </w:pPr>
      <w:r>
        <w:rPr>
          <w:rFonts w:ascii="Public Sans" w:hAnsi="Public Sans"/>
          <w:sz w:val="22"/>
        </w:rPr>
        <w:t xml:space="preserve">It is important to recognise that some adults with disability and older people and other parties are contacting the Helpline to obtain information, support and guidance to help inform their next steps. </w:t>
      </w:r>
      <w:r w:rsidR="00513871">
        <w:rPr>
          <w:rFonts w:ascii="Public Sans" w:hAnsi="Public Sans"/>
          <w:sz w:val="22"/>
        </w:rPr>
        <w:t>Knowing that the ADC will refer information to police regardless of the adult’s wishes work</w:t>
      </w:r>
      <w:r w:rsidR="000804FE">
        <w:rPr>
          <w:rFonts w:ascii="Public Sans" w:hAnsi="Public Sans"/>
          <w:sz w:val="22"/>
        </w:rPr>
        <w:t>s</w:t>
      </w:r>
      <w:r w:rsidR="00513871">
        <w:rPr>
          <w:rFonts w:ascii="Public Sans" w:hAnsi="Public Sans"/>
          <w:sz w:val="22"/>
        </w:rPr>
        <w:t xml:space="preserve"> against the other aspects of the Act that are </w:t>
      </w:r>
      <w:r w:rsidR="000804FE">
        <w:rPr>
          <w:rFonts w:ascii="Public Sans" w:hAnsi="Public Sans"/>
          <w:sz w:val="22"/>
        </w:rPr>
        <w:t xml:space="preserve">designed to encourage reporting, and acts to dissuade adults and others from contacting the Helpline to get the help they are seeking. We note that, for some adults, we have a small window to provide assistance – they are contacting us while they are in a safe position to do so, and at </w:t>
      </w:r>
      <w:r w:rsidR="000804FE">
        <w:rPr>
          <w:rFonts w:ascii="Public Sans" w:hAnsi="Public Sans"/>
          <w:sz w:val="22"/>
        </w:rPr>
        <w:lastRenderedPageBreak/>
        <w:t xml:space="preserve">a point that they are open to talking about their situation and getting help. </w:t>
      </w:r>
      <w:r w:rsidR="009C5208">
        <w:rPr>
          <w:rFonts w:ascii="Public Sans" w:hAnsi="Public Sans"/>
          <w:sz w:val="22"/>
        </w:rPr>
        <w:t xml:space="preserve">A blanket requirement to refer information that </w:t>
      </w:r>
      <w:r w:rsidR="009C5208" w:rsidRPr="009C5208">
        <w:rPr>
          <w:rFonts w:ascii="Public Sans" w:hAnsi="Public Sans"/>
          <w:i/>
          <w:sz w:val="22"/>
        </w:rPr>
        <w:t xml:space="preserve">may </w:t>
      </w:r>
      <w:r w:rsidR="009C5208">
        <w:rPr>
          <w:rFonts w:ascii="Public Sans" w:hAnsi="Public Sans"/>
          <w:sz w:val="22"/>
        </w:rPr>
        <w:t xml:space="preserve">provide evidence of the commission of a criminal offence to police makes it more challenging to gain the trust of the adult, and reduces the likelihood that they will recontact us, or continue to engage with us. </w:t>
      </w:r>
    </w:p>
    <w:p w:rsidR="00A466AA" w:rsidRDefault="00A466AA" w:rsidP="00910984">
      <w:pPr>
        <w:pStyle w:val="BodyText"/>
        <w:widowControl w:val="0"/>
        <w:spacing w:before="0" w:after="0" w:line="240" w:lineRule="auto"/>
        <w:rPr>
          <w:rFonts w:ascii="Public Sans" w:hAnsi="Public Sans"/>
          <w:sz w:val="22"/>
        </w:rPr>
      </w:pPr>
    </w:p>
    <w:p w:rsidR="00A466AA" w:rsidRDefault="00A466AA" w:rsidP="00910984">
      <w:pPr>
        <w:pStyle w:val="BodyText"/>
        <w:widowControl w:val="0"/>
        <w:spacing w:before="0" w:after="0" w:line="240" w:lineRule="auto"/>
        <w:rPr>
          <w:rFonts w:ascii="Public Sans" w:hAnsi="Public Sans"/>
          <w:sz w:val="22"/>
        </w:rPr>
      </w:pPr>
      <w:r>
        <w:rPr>
          <w:rFonts w:ascii="Public Sans" w:hAnsi="Public Sans"/>
          <w:sz w:val="22"/>
        </w:rPr>
        <w:t xml:space="preserve">In addition, </w:t>
      </w:r>
      <w:r w:rsidR="004A2DB9">
        <w:rPr>
          <w:rFonts w:ascii="Public Sans" w:hAnsi="Public Sans"/>
          <w:sz w:val="22"/>
        </w:rPr>
        <w:t xml:space="preserve">in the experience of </w:t>
      </w:r>
      <w:r>
        <w:rPr>
          <w:rFonts w:ascii="Public Sans" w:hAnsi="Public Sans"/>
          <w:sz w:val="22"/>
        </w:rPr>
        <w:t>the ADC</w:t>
      </w:r>
      <w:r w:rsidR="004A2DB9">
        <w:rPr>
          <w:rFonts w:ascii="Public Sans" w:hAnsi="Public Sans"/>
          <w:sz w:val="22"/>
        </w:rPr>
        <w:t>,</w:t>
      </w:r>
      <w:r>
        <w:rPr>
          <w:rFonts w:ascii="Public Sans" w:hAnsi="Public Sans"/>
          <w:sz w:val="22"/>
        </w:rPr>
        <w:t xml:space="preserve"> referr</w:t>
      </w:r>
      <w:r w:rsidR="004A2DB9">
        <w:rPr>
          <w:rFonts w:ascii="Public Sans" w:hAnsi="Public Sans"/>
          <w:sz w:val="22"/>
        </w:rPr>
        <w:t>als of</w:t>
      </w:r>
      <w:r>
        <w:rPr>
          <w:rFonts w:ascii="Public Sans" w:hAnsi="Public Sans"/>
          <w:sz w:val="22"/>
        </w:rPr>
        <w:t xml:space="preserve"> lower level matters, or matters that </w:t>
      </w:r>
      <w:r w:rsidR="00A07F93">
        <w:rPr>
          <w:rFonts w:ascii="Public Sans" w:hAnsi="Public Sans"/>
          <w:sz w:val="22"/>
        </w:rPr>
        <w:t>police</w:t>
      </w:r>
      <w:r>
        <w:rPr>
          <w:rFonts w:ascii="Public Sans" w:hAnsi="Public Sans"/>
          <w:sz w:val="22"/>
        </w:rPr>
        <w:t xml:space="preserve"> have previously received (without new information), does not receive a favourable response from police. The ADC is concerned that the cumulative impact of these mandatory referrals will result in police diminishing the importance of ADC referrals, and </w:t>
      </w:r>
      <w:r w:rsidR="004A2DB9">
        <w:rPr>
          <w:rFonts w:ascii="Public Sans" w:hAnsi="Public Sans"/>
          <w:sz w:val="22"/>
        </w:rPr>
        <w:t xml:space="preserve">adversely affect the response to the more serious criminal matters. </w:t>
      </w:r>
    </w:p>
    <w:p w:rsidR="00E36F07" w:rsidRDefault="00E36F07" w:rsidP="00910984">
      <w:pPr>
        <w:pStyle w:val="BodyText"/>
        <w:widowControl w:val="0"/>
        <w:spacing w:before="0" w:after="0" w:line="240" w:lineRule="auto"/>
        <w:rPr>
          <w:rFonts w:ascii="Public Sans" w:hAnsi="Public Sans"/>
          <w:sz w:val="22"/>
        </w:rPr>
      </w:pPr>
    </w:p>
    <w:p w:rsidR="00DC4C71" w:rsidRDefault="00022FFC" w:rsidP="00910984">
      <w:pPr>
        <w:pStyle w:val="BodyText"/>
        <w:widowControl w:val="0"/>
        <w:spacing w:before="0" w:after="0" w:line="240" w:lineRule="auto"/>
        <w:rPr>
          <w:rFonts w:ascii="Public Sans" w:hAnsi="Public Sans"/>
          <w:sz w:val="22"/>
        </w:rPr>
      </w:pPr>
      <w:r>
        <w:rPr>
          <w:rFonts w:ascii="Public Sans" w:hAnsi="Public Sans"/>
          <w:sz w:val="22"/>
        </w:rPr>
        <w:t>It is worth noting that</w:t>
      </w:r>
      <w:r w:rsidR="000A7205">
        <w:rPr>
          <w:rFonts w:ascii="Public Sans" w:hAnsi="Public Sans"/>
          <w:sz w:val="22"/>
        </w:rPr>
        <w:t>, pursuant to a Memorandum of Understanding between the ADC and NSW Police,</w:t>
      </w:r>
      <w:r>
        <w:rPr>
          <w:rFonts w:ascii="Public Sans" w:hAnsi="Public Sans"/>
          <w:sz w:val="22"/>
        </w:rPr>
        <w:t xml:space="preserve"> </w:t>
      </w:r>
      <w:r w:rsidR="00C801FA">
        <w:rPr>
          <w:rFonts w:ascii="Public Sans" w:hAnsi="Public Sans"/>
          <w:sz w:val="22"/>
        </w:rPr>
        <w:t>certain o</w:t>
      </w:r>
      <w:r w:rsidR="00F333EC">
        <w:rPr>
          <w:rFonts w:ascii="Public Sans" w:hAnsi="Public Sans"/>
          <w:sz w:val="22"/>
        </w:rPr>
        <w:t xml:space="preserve">fficers </w:t>
      </w:r>
      <w:r w:rsidR="00C801FA">
        <w:rPr>
          <w:rFonts w:ascii="Public Sans" w:hAnsi="Public Sans"/>
          <w:sz w:val="22"/>
        </w:rPr>
        <w:t xml:space="preserve">in the ADC </w:t>
      </w:r>
      <w:r w:rsidR="00F333EC">
        <w:rPr>
          <w:rFonts w:ascii="Public Sans" w:hAnsi="Public Sans"/>
          <w:sz w:val="22"/>
        </w:rPr>
        <w:t xml:space="preserve">have </w:t>
      </w:r>
      <w:r w:rsidR="00785416">
        <w:rPr>
          <w:rFonts w:ascii="Public Sans" w:hAnsi="Public Sans"/>
          <w:sz w:val="22"/>
        </w:rPr>
        <w:t xml:space="preserve">had </w:t>
      </w:r>
      <w:r w:rsidR="00F333EC">
        <w:rPr>
          <w:rFonts w:ascii="Public Sans" w:hAnsi="Public Sans"/>
          <w:sz w:val="22"/>
        </w:rPr>
        <w:t>read-only access to the NSW Police Computerised Operational Policing System (COPS)</w:t>
      </w:r>
      <w:r>
        <w:rPr>
          <w:rFonts w:ascii="Public Sans" w:hAnsi="Public Sans"/>
          <w:sz w:val="22"/>
        </w:rPr>
        <w:t xml:space="preserve"> since May 2021</w:t>
      </w:r>
      <w:r w:rsidR="00785416">
        <w:rPr>
          <w:rFonts w:ascii="Public Sans" w:hAnsi="Public Sans"/>
          <w:sz w:val="22"/>
        </w:rPr>
        <w:t xml:space="preserve">. In relation to referrals, access to COPS enables the ADC </w:t>
      </w:r>
      <w:r w:rsidR="00C801FA">
        <w:rPr>
          <w:rFonts w:ascii="Public Sans" w:hAnsi="Public Sans"/>
          <w:sz w:val="22"/>
        </w:rPr>
        <w:t xml:space="preserve">to identify whether police have already received the </w:t>
      </w:r>
      <w:r>
        <w:rPr>
          <w:rFonts w:ascii="Public Sans" w:hAnsi="Public Sans"/>
          <w:sz w:val="22"/>
        </w:rPr>
        <w:t xml:space="preserve">report and all </w:t>
      </w:r>
      <w:r w:rsidR="00C801FA">
        <w:rPr>
          <w:rFonts w:ascii="Public Sans" w:hAnsi="Public Sans"/>
          <w:sz w:val="22"/>
        </w:rPr>
        <w:t xml:space="preserve">relevant information, and the actions being taken </w:t>
      </w:r>
      <w:r>
        <w:rPr>
          <w:rFonts w:ascii="Public Sans" w:hAnsi="Public Sans"/>
          <w:sz w:val="22"/>
        </w:rPr>
        <w:t xml:space="preserve">by police </w:t>
      </w:r>
      <w:r w:rsidR="00C801FA">
        <w:rPr>
          <w:rFonts w:ascii="Public Sans" w:hAnsi="Public Sans"/>
          <w:sz w:val="22"/>
        </w:rPr>
        <w:t xml:space="preserve">in response to the report. </w:t>
      </w:r>
    </w:p>
    <w:p w:rsidR="00C801FA" w:rsidRPr="00785416" w:rsidRDefault="00C801FA" w:rsidP="00910984">
      <w:pPr>
        <w:pStyle w:val="BodyText"/>
        <w:widowControl w:val="0"/>
        <w:spacing w:before="0" w:after="0" w:line="240" w:lineRule="auto"/>
        <w:rPr>
          <w:rFonts w:ascii="Public Sans" w:hAnsi="Public Sans"/>
          <w:sz w:val="24"/>
        </w:rPr>
      </w:pPr>
    </w:p>
    <w:p w:rsidR="00DC4C71" w:rsidRDefault="00513871" w:rsidP="00910984">
      <w:pPr>
        <w:pStyle w:val="BodyText"/>
        <w:widowControl w:val="0"/>
        <w:spacing w:before="0" w:after="0" w:line="240" w:lineRule="auto"/>
        <w:rPr>
          <w:rFonts w:ascii="Public Sans" w:eastAsiaTheme="minorHAnsi" w:hAnsi="Public Sans" w:cs="Segoe UI"/>
          <w:sz w:val="22"/>
          <w:szCs w:val="22"/>
          <w:lang w:eastAsia="en-US"/>
        </w:rPr>
      </w:pPr>
      <w:r>
        <w:rPr>
          <w:rFonts w:ascii="Public Sans" w:eastAsiaTheme="minorHAnsi" w:hAnsi="Public Sans" w:cs="Segoe UI"/>
          <w:sz w:val="22"/>
          <w:szCs w:val="22"/>
          <w:lang w:eastAsia="en-US"/>
        </w:rPr>
        <w:t xml:space="preserve">The mandatory referral to police in section 13(9) reflects the need to ensure that adults with disability and older people who are subject to, or at risk of, abuse, neglect and exploitation have access to justice, and that abuse of these cohorts is appropriately recognised as a crime. </w:t>
      </w:r>
      <w:r w:rsidR="00082D81">
        <w:rPr>
          <w:rFonts w:ascii="Public Sans" w:eastAsiaTheme="minorHAnsi" w:hAnsi="Public Sans" w:cs="Segoe UI"/>
          <w:sz w:val="22"/>
          <w:szCs w:val="22"/>
          <w:lang w:eastAsia="en-US"/>
        </w:rPr>
        <w:t>It is critical that t</w:t>
      </w:r>
      <w:r w:rsidR="00CF23A0">
        <w:rPr>
          <w:rFonts w:ascii="Public Sans" w:eastAsiaTheme="minorHAnsi" w:hAnsi="Public Sans" w:cs="Segoe UI"/>
          <w:sz w:val="22"/>
          <w:szCs w:val="22"/>
          <w:lang w:eastAsia="en-US"/>
        </w:rPr>
        <w:t xml:space="preserve">he ADC </w:t>
      </w:r>
      <w:r w:rsidR="00082D81">
        <w:rPr>
          <w:rFonts w:ascii="Public Sans" w:eastAsiaTheme="minorHAnsi" w:hAnsi="Public Sans" w:cs="Segoe UI"/>
          <w:sz w:val="22"/>
          <w:szCs w:val="22"/>
          <w:lang w:eastAsia="en-US"/>
        </w:rPr>
        <w:t xml:space="preserve">ensures that relevant criminal allegations are reported to NSW Police. </w:t>
      </w:r>
      <w:r w:rsidR="00005985">
        <w:rPr>
          <w:rFonts w:ascii="Public Sans" w:eastAsiaTheme="minorHAnsi" w:hAnsi="Public Sans" w:cs="Segoe UI"/>
          <w:sz w:val="22"/>
          <w:szCs w:val="22"/>
          <w:lang w:eastAsia="en-US"/>
        </w:rPr>
        <w:t>However, am</w:t>
      </w:r>
      <w:r w:rsidR="00785416">
        <w:rPr>
          <w:rFonts w:ascii="Public Sans" w:eastAsiaTheme="minorHAnsi" w:hAnsi="Public Sans" w:cs="Segoe UI"/>
          <w:sz w:val="22"/>
          <w:szCs w:val="22"/>
          <w:lang w:eastAsia="en-US"/>
        </w:rPr>
        <w:t xml:space="preserve">ending the legislation to state that the ADC ‘may refer’ instead of </w:t>
      </w:r>
      <w:r w:rsidR="00785416" w:rsidRPr="00022FFC">
        <w:rPr>
          <w:rFonts w:ascii="Public Sans" w:eastAsiaTheme="minorHAnsi" w:hAnsi="Public Sans" w:cs="Segoe UI"/>
          <w:sz w:val="22"/>
          <w:szCs w:val="22"/>
          <w:lang w:eastAsia="en-US"/>
        </w:rPr>
        <w:t xml:space="preserve">‘must refer’ </w:t>
      </w:r>
      <w:r w:rsidR="009E76DF" w:rsidRPr="00022FFC">
        <w:rPr>
          <w:rFonts w:ascii="Public Sans" w:eastAsiaTheme="minorHAnsi" w:hAnsi="Public Sans" w:cs="Segoe UI"/>
          <w:sz w:val="22"/>
          <w:szCs w:val="22"/>
          <w:lang w:eastAsia="en-US"/>
        </w:rPr>
        <w:t>would</w:t>
      </w:r>
      <w:r w:rsidR="00022FFC">
        <w:rPr>
          <w:rFonts w:ascii="Public Sans" w:eastAsiaTheme="minorHAnsi" w:hAnsi="Public Sans" w:cs="Segoe UI"/>
          <w:sz w:val="22"/>
          <w:szCs w:val="22"/>
          <w:lang w:eastAsia="en-US"/>
        </w:rPr>
        <w:t xml:space="preserve"> provide some scope for informed ADC judgement and discretion about the matters we need to refer</w:t>
      </w:r>
      <w:r w:rsidR="000804FE">
        <w:rPr>
          <w:rFonts w:ascii="Public Sans" w:eastAsiaTheme="minorHAnsi" w:hAnsi="Public Sans" w:cs="Segoe UI"/>
          <w:sz w:val="22"/>
          <w:szCs w:val="22"/>
          <w:lang w:eastAsia="en-US"/>
        </w:rPr>
        <w:t>, and the timing of the referral</w:t>
      </w:r>
      <w:r w:rsidR="00022FFC">
        <w:rPr>
          <w:rFonts w:ascii="Public Sans" w:eastAsiaTheme="minorHAnsi" w:hAnsi="Public Sans" w:cs="Segoe UI"/>
          <w:sz w:val="22"/>
          <w:szCs w:val="22"/>
          <w:lang w:eastAsia="en-US"/>
        </w:rPr>
        <w:t xml:space="preserve">. </w:t>
      </w:r>
    </w:p>
    <w:p w:rsidR="00F96D5C" w:rsidRDefault="00F96D5C" w:rsidP="00910984">
      <w:pPr>
        <w:pStyle w:val="BodyText"/>
        <w:widowControl w:val="0"/>
        <w:spacing w:before="0" w:after="0" w:line="240" w:lineRule="auto"/>
        <w:rPr>
          <w:rFonts w:ascii="Public Sans" w:eastAsiaTheme="minorHAnsi" w:hAnsi="Public Sans" w:cs="Segoe UI"/>
          <w:sz w:val="22"/>
          <w:szCs w:val="22"/>
          <w:lang w:eastAsia="en-US"/>
        </w:rPr>
      </w:pPr>
    </w:p>
    <w:p w:rsidR="00F96D5C" w:rsidRPr="00F634D4" w:rsidRDefault="00E71236" w:rsidP="00910984">
      <w:pPr>
        <w:pStyle w:val="Heading5"/>
        <w:keepNext w:val="0"/>
        <w:keepLines w:val="0"/>
        <w:widowControl w:val="0"/>
        <w:spacing w:before="0"/>
        <w:rPr>
          <w:rFonts w:ascii="Public Sans" w:hAnsi="Public Sans"/>
          <w:b/>
        </w:rPr>
      </w:pPr>
      <w:r>
        <w:rPr>
          <w:rFonts w:ascii="Public Sans" w:hAnsi="Public Sans"/>
          <w:b/>
          <w:color w:val="auto"/>
          <w:sz w:val="22"/>
        </w:rPr>
        <w:t>Grounds to</w:t>
      </w:r>
      <w:r w:rsidR="00F634D4" w:rsidRPr="00F634D4">
        <w:rPr>
          <w:rFonts w:ascii="Public Sans" w:hAnsi="Public Sans"/>
          <w:b/>
          <w:color w:val="auto"/>
          <w:sz w:val="22"/>
        </w:rPr>
        <w:t xml:space="preserve"> investigate</w:t>
      </w:r>
      <w:r>
        <w:rPr>
          <w:rFonts w:ascii="Public Sans" w:hAnsi="Public Sans"/>
          <w:b/>
          <w:color w:val="auto"/>
          <w:sz w:val="22"/>
        </w:rPr>
        <w:t xml:space="preserve"> without consent</w:t>
      </w:r>
      <w:r w:rsidR="000F7607">
        <w:rPr>
          <w:rFonts w:ascii="Public Sans" w:hAnsi="Public Sans"/>
          <w:b/>
          <w:color w:val="auto"/>
          <w:sz w:val="22"/>
        </w:rPr>
        <w:t xml:space="preserve"> (section 13(11))</w:t>
      </w:r>
    </w:p>
    <w:p w:rsidR="00F634D4" w:rsidRDefault="00E71236" w:rsidP="00910984">
      <w:pPr>
        <w:pStyle w:val="BodyText"/>
        <w:widowControl w:val="0"/>
        <w:spacing w:before="0" w:after="0" w:line="240" w:lineRule="auto"/>
        <w:rPr>
          <w:rFonts w:ascii="Public Sans" w:hAnsi="Public Sans"/>
          <w:sz w:val="22"/>
        </w:rPr>
      </w:pPr>
      <w:r>
        <w:rPr>
          <w:rFonts w:ascii="Public Sans" w:hAnsi="Public Sans"/>
          <w:sz w:val="22"/>
        </w:rPr>
        <w:t xml:space="preserve">The Act appropriately requires the ADC to obtain the consent of the adult to conduct an investigation into an allegation of abuse, neglect and exploitation. Section 13(11) currently provides for the ADC to commence an investigation without the adult’s consent in two circumstances – where the </w:t>
      </w:r>
      <w:r w:rsidR="00A07F93">
        <w:rPr>
          <w:rFonts w:ascii="Public Sans" w:hAnsi="Public Sans"/>
          <w:sz w:val="22"/>
        </w:rPr>
        <w:t>ADC</w:t>
      </w:r>
      <w:r>
        <w:rPr>
          <w:rFonts w:ascii="Public Sans" w:hAnsi="Public Sans"/>
          <w:sz w:val="22"/>
        </w:rPr>
        <w:t xml:space="preserve"> is of the opinion that:</w:t>
      </w:r>
    </w:p>
    <w:p w:rsidR="00E71236" w:rsidRPr="00F2709B" w:rsidRDefault="00E71236" w:rsidP="000866C5">
      <w:pPr>
        <w:pStyle w:val="ListParagraph0"/>
        <w:widowControl w:val="0"/>
        <w:numPr>
          <w:ilvl w:val="0"/>
          <w:numId w:val="28"/>
        </w:numPr>
        <w:spacing w:before="60"/>
        <w:ind w:left="709"/>
        <w:rPr>
          <w:rFonts w:ascii="Public Sans" w:hAnsi="Public Sans"/>
          <w:sz w:val="22"/>
        </w:rPr>
      </w:pPr>
      <w:r w:rsidRPr="00F2709B">
        <w:rPr>
          <w:rFonts w:ascii="Public Sans" w:hAnsi="Public Sans"/>
          <w:sz w:val="22"/>
        </w:rPr>
        <w:t>the adult is incapable of giving consent despite being provided with support to make the decision, or</w:t>
      </w:r>
    </w:p>
    <w:p w:rsidR="00E71236" w:rsidRDefault="00E71236" w:rsidP="000866C5">
      <w:pPr>
        <w:pStyle w:val="ListParagraph0"/>
        <w:widowControl w:val="0"/>
        <w:numPr>
          <w:ilvl w:val="0"/>
          <w:numId w:val="28"/>
        </w:numPr>
        <w:spacing w:before="60" w:after="0" w:line="240" w:lineRule="auto"/>
        <w:ind w:left="709"/>
        <w:rPr>
          <w:rFonts w:ascii="Public Sans" w:hAnsi="Public Sans"/>
          <w:sz w:val="22"/>
        </w:rPr>
      </w:pPr>
      <w:r w:rsidRPr="00E71236">
        <w:rPr>
          <w:rFonts w:ascii="Public Sans" w:hAnsi="Public Sans"/>
          <w:sz w:val="22"/>
        </w:rPr>
        <w:t>it is not necessary to obtain consent due to the seriousness of the allegation or the risk to their personal safety.</w:t>
      </w:r>
    </w:p>
    <w:p w:rsidR="00E71236" w:rsidRPr="00E71236" w:rsidRDefault="00E71236" w:rsidP="00910984">
      <w:pPr>
        <w:widowControl w:val="0"/>
        <w:rPr>
          <w:rFonts w:ascii="Public Sans" w:hAnsi="Public Sans"/>
          <w:sz w:val="24"/>
        </w:rPr>
      </w:pPr>
    </w:p>
    <w:p w:rsidR="00E71236" w:rsidRDefault="00E71236" w:rsidP="00910984">
      <w:pPr>
        <w:widowControl w:val="0"/>
        <w:rPr>
          <w:rFonts w:ascii="Public Sans" w:hAnsi="Public Sans"/>
          <w:sz w:val="22"/>
        </w:rPr>
      </w:pPr>
      <w:r w:rsidRPr="00E71236">
        <w:rPr>
          <w:rFonts w:ascii="Public Sans" w:hAnsi="Public Sans"/>
          <w:sz w:val="22"/>
        </w:rPr>
        <w:t xml:space="preserve">In practice, there are many cases in which the ADC is unable to have direct contact with the adult in order to seek their consent – typically because the subject of allegation is always with the adult and/or is blocking access. Where </w:t>
      </w:r>
      <w:r>
        <w:rPr>
          <w:rFonts w:ascii="Public Sans" w:hAnsi="Public Sans"/>
          <w:sz w:val="22"/>
        </w:rPr>
        <w:t>the ADC is</w:t>
      </w:r>
      <w:r w:rsidRPr="00E71236">
        <w:rPr>
          <w:rFonts w:ascii="Public Sans" w:hAnsi="Public Sans"/>
          <w:sz w:val="22"/>
        </w:rPr>
        <w:t xml:space="preserve"> able to form a view that the matter meets the criteria of s</w:t>
      </w:r>
      <w:r>
        <w:rPr>
          <w:rFonts w:ascii="Public Sans" w:hAnsi="Public Sans"/>
          <w:sz w:val="22"/>
        </w:rPr>
        <w:t>ection</w:t>
      </w:r>
      <w:r w:rsidRPr="00E71236">
        <w:rPr>
          <w:rFonts w:ascii="Public Sans" w:hAnsi="Public Sans"/>
          <w:sz w:val="22"/>
        </w:rPr>
        <w:t xml:space="preserve"> 13(11)(b), we can proceed with an investigation, </w:t>
      </w:r>
      <w:r w:rsidR="00A07F93">
        <w:rPr>
          <w:rFonts w:ascii="Public Sans" w:hAnsi="Public Sans"/>
          <w:sz w:val="22"/>
        </w:rPr>
        <w:t xml:space="preserve">and </w:t>
      </w:r>
      <w:r w:rsidRPr="00E71236">
        <w:rPr>
          <w:rFonts w:ascii="Public Sans" w:hAnsi="Public Sans"/>
          <w:sz w:val="22"/>
        </w:rPr>
        <w:t xml:space="preserve">gain access to the adult. However, reports that primarily involve allegations of financial abuse (or some psychological abuse) do not always meet </w:t>
      </w:r>
      <w:r>
        <w:rPr>
          <w:rFonts w:ascii="Public Sans" w:hAnsi="Public Sans"/>
          <w:sz w:val="22"/>
        </w:rPr>
        <w:t>this criteria</w:t>
      </w:r>
      <w:r w:rsidRPr="00E71236">
        <w:rPr>
          <w:rFonts w:ascii="Public Sans" w:hAnsi="Public Sans"/>
          <w:sz w:val="22"/>
        </w:rPr>
        <w:t xml:space="preserve">.  </w:t>
      </w:r>
    </w:p>
    <w:p w:rsidR="00E71236" w:rsidRPr="00E71236" w:rsidRDefault="00E71236" w:rsidP="00910984">
      <w:pPr>
        <w:widowControl w:val="0"/>
        <w:rPr>
          <w:rFonts w:ascii="Public Sans" w:hAnsi="Public Sans"/>
          <w:sz w:val="24"/>
        </w:rPr>
      </w:pPr>
    </w:p>
    <w:p w:rsidR="00E71236" w:rsidRDefault="00E71236" w:rsidP="00910984">
      <w:pPr>
        <w:widowControl w:val="0"/>
        <w:spacing w:before="60"/>
        <w:rPr>
          <w:rFonts w:ascii="Public Sans" w:hAnsi="Public Sans"/>
          <w:sz w:val="22"/>
        </w:rPr>
      </w:pPr>
      <w:r>
        <w:rPr>
          <w:rFonts w:ascii="Public Sans" w:hAnsi="Public Sans"/>
          <w:sz w:val="22"/>
        </w:rPr>
        <w:t>We note that t</w:t>
      </w:r>
      <w:r w:rsidRPr="00E71236">
        <w:rPr>
          <w:rFonts w:ascii="Public Sans" w:hAnsi="Public Sans"/>
          <w:sz w:val="22"/>
        </w:rPr>
        <w:t xml:space="preserve">he </w:t>
      </w:r>
      <w:r w:rsidRPr="00E71236">
        <w:rPr>
          <w:rFonts w:ascii="Public Sans" w:hAnsi="Public Sans"/>
          <w:i/>
          <w:sz w:val="22"/>
        </w:rPr>
        <w:t>Ageing and Adult Safeguarding Act 1995</w:t>
      </w:r>
      <w:r w:rsidRPr="00E71236">
        <w:rPr>
          <w:rFonts w:ascii="Public Sans" w:hAnsi="Public Sans"/>
          <w:sz w:val="22"/>
        </w:rPr>
        <w:t xml:space="preserve"> </w:t>
      </w:r>
      <w:r w:rsidRPr="00E71236">
        <w:rPr>
          <w:rFonts w:ascii="Public Sans" w:hAnsi="Public Sans"/>
          <w:i/>
          <w:sz w:val="22"/>
        </w:rPr>
        <w:t>[SA]</w:t>
      </w:r>
      <w:r w:rsidRPr="00E71236">
        <w:rPr>
          <w:rFonts w:ascii="Public Sans" w:hAnsi="Public Sans"/>
          <w:sz w:val="22"/>
        </w:rPr>
        <w:t xml:space="preserve"> includes provision for the </w:t>
      </w:r>
      <w:r w:rsidR="00C8086A">
        <w:rPr>
          <w:rFonts w:ascii="Public Sans" w:hAnsi="Public Sans"/>
          <w:sz w:val="22"/>
        </w:rPr>
        <w:t xml:space="preserve">South Australian </w:t>
      </w:r>
      <w:r w:rsidRPr="00E71236">
        <w:rPr>
          <w:rFonts w:ascii="Public Sans" w:hAnsi="Public Sans"/>
          <w:sz w:val="22"/>
        </w:rPr>
        <w:t xml:space="preserve">Adult Safeguarding Unit </w:t>
      </w:r>
      <w:r w:rsidR="00C8086A">
        <w:rPr>
          <w:rFonts w:ascii="Public Sans" w:hAnsi="Public Sans"/>
          <w:sz w:val="22"/>
        </w:rPr>
        <w:t xml:space="preserve">(ASU) </w:t>
      </w:r>
      <w:r w:rsidRPr="00E71236">
        <w:rPr>
          <w:rFonts w:ascii="Public Sans" w:hAnsi="Public Sans"/>
          <w:sz w:val="22"/>
        </w:rPr>
        <w:t>to commence an investigation/</w:t>
      </w:r>
      <w:r w:rsidR="00C8086A">
        <w:rPr>
          <w:rFonts w:ascii="Public Sans" w:hAnsi="Public Sans"/>
          <w:sz w:val="22"/>
        </w:rPr>
        <w:t xml:space="preserve"> </w:t>
      </w:r>
      <w:r w:rsidRPr="00E71236">
        <w:rPr>
          <w:rFonts w:ascii="Public Sans" w:hAnsi="Public Sans"/>
          <w:sz w:val="22"/>
        </w:rPr>
        <w:t xml:space="preserve">take action without first obtaining the consent of the adult if the </w:t>
      </w:r>
      <w:r w:rsidR="00C8086A">
        <w:rPr>
          <w:rFonts w:ascii="Public Sans" w:hAnsi="Public Sans"/>
          <w:sz w:val="22"/>
        </w:rPr>
        <w:t>ASU</w:t>
      </w:r>
      <w:r w:rsidRPr="00E71236">
        <w:rPr>
          <w:rFonts w:ascii="Public Sans" w:hAnsi="Public Sans"/>
          <w:sz w:val="22"/>
        </w:rPr>
        <w:t xml:space="preserve"> has not, after reasonable inquiries, been able to contact the adult.</w:t>
      </w:r>
      <w:r w:rsidR="00C8086A">
        <w:rPr>
          <w:rFonts w:ascii="Public Sans" w:hAnsi="Public Sans"/>
          <w:sz w:val="22"/>
        </w:rPr>
        <w:t xml:space="preserve"> </w:t>
      </w:r>
      <w:r w:rsidR="000E10E2">
        <w:rPr>
          <w:rFonts w:ascii="Public Sans" w:hAnsi="Public Sans"/>
          <w:sz w:val="22"/>
        </w:rPr>
        <w:t xml:space="preserve">A similar provision in the ADC Act would enable the ADC to </w:t>
      </w:r>
      <w:r w:rsidR="00565164">
        <w:rPr>
          <w:rFonts w:ascii="Public Sans" w:hAnsi="Public Sans"/>
          <w:sz w:val="22"/>
        </w:rPr>
        <w:t xml:space="preserve">commence an investigation </w:t>
      </w:r>
      <w:r w:rsidR="00E24419">
        <w:rPr>
          <w:rFonts w:ascii="Public Sans" w:hAnsi="Public Sans"/>
          <w:sz w:val="22"/>
        </w:rPr>
        <w:t xml:space="preserve">and ascertain the will and preference of the adult </w:t>
      </w:r>
      <w:r w:rsidR="00565164">
        <w:rPr>
          <w:rFonts w:ascii="Public Sans" w:hAnsi="Public Sans"/>
          <w:sz w:val="22"/>
        </w:rPr>
        <w:t>in matters where our attempts to be able to have direct (and safe) contact with the</w:t>
      </w:r>
      <w:r w:rsidR="00E24419">
        <w:rPr>
          <w:rFonts w:ascii="Public Sans" w:hAnsi="Public Sans"/>
          <w:sz w:val="22"/>
        </w:rPr>
        <w:t>m</w:t>
      </w:r>
      <w:r w:rsidR="00565164">
        <w:rPr>
          <w:rFonts w:ascii="Public Sans" w:hAnsi="Public Sans"/>
          <w:sz w:val="22"/>
        </w:rPr>
        <w:t xml:space="preserve"> have been unsuccessful. </w:t>
      </w:r>
    </w:p>
    <w:p w:rsidR="00565164" w:rsidRDefault="00565164" w:rsidP="00910984">
      <w:pPr>
        <w:widowControl w:val="0"/>
        <w:spacing w:before="60"/>
        <w:rPr>
          <w:rFonts w:ascii="Public Sans" w:hAnsi="Public Sans"/>
          <w:sz w:val="22"/>
        </w:rPr>
      </w:pPr>
    </w:p>
    <w:p w:rsidR="00B15444" w:rsidRDefault="00B15444" w:rsidP="00910984">
      <w:pPr>
        <w:widowControl w:val="0"/>
        <w:spacing w:before="60"/>
        <w:rPr>
          <w:rFonts w:ascii="Public Sans" w:hAnsi="Public Sans"/>
          <w:sz w:val="22"/>
        </w:rPr>
      </w:pPr>
    </w:p>
    <w:p w:rsidR="00B15444" w:rsidRDefault="00B15444" w:rsidP="00910984">
      <w:pPr>
        <w:widowControl w:val="0"/>
        <w:spacing w:before="60"/>
        <w:rPr>
          <w:rFonts w:ascii="Public Sans" w:hAnsi="Public Sans"/>
          <w:sz w:val="22"/>
        </w:rPr>
      </w:pPr>
    </w:p>
    <w:p w:rsidR="009A5BDB" w:rsidRPr="00EB3CF3" w:rsidRDefault="00E31B45" w:rsidP="00910984">
      <w:pPr>
        <w:pStyle w:val="Heading4"/>
        <w:keepNext w:val="0"/>
        <w:keepLines w:val="0"/>
        <w:widowControl w:val="0"/>
        <w:spacing w:before="0" w:after="240"/>
        <w:rPr>
          <w:rFonts w:ascii="Public Sans" w:hAnsi="Public Sans"/>
          <w:b/>
          <w:color w:val="auto"/>
        </w:rPr>
      </w:pPr>
      <w:r w:rsidRPr="00EB3CF3">
        <w:rPr>
          <w:rFonts w:ascii="Public Sans" w:hAnsi="Public Sans"/>
          <w:b/>
          <w:color w:val="auto"/>
        </w:rPr>
        <w:lastRenderedPageBreak/>
        <w:t>Exchange of information</w:t>
      </w:r>
      <w:r w:rsidR="000F7607">
        <w:rPr>
          <w:rFonts w:ascii="Public Sans" w:hAnsi="Public Sans"/>
          <w:b/>
          <w:color w:val="auto"/>
        </w:rPr>
        <w:t xml:space="preserve"> (section 14)</w:t>
      </w:r>
    </w:p>
    <w:p w:rsidR="00EB3CF3" w:rsidRPr="00EB3CF3" w:rsidRDefault="00EB3CF3" w:rsidP="00910984">
      <w:pPr>
        <w:pStyle w:val="Heading5"/>
        <w:keepNext w:val="0"/>
        <w:keepLines w:val="0"/>
        <w:widowControl w:val="0"/>
        <w:rPr>
          <w:rFonts w:ascii="Public Sans" w:hAnsi="Public Sans"/>
          <w:b/>
          <w:color w:val="auto"/>
          <w:sz w:val="22"/>
        </w:rPr>
      </w:pPr>
      <w:r w:rsidRPr="00EB3CF3">
        <w:rPr>
          <w:rFonts w:ascii="Public Sans" w:hAnsi="Public Sans"/>
          <w:b/>
          <w:color w:val="auto"/>
          <w:sz w:val="22"/>
        </w:rPr>
        <w:t xml:space="preserve">Scope of ‘relevant agency’ </w:t>
      </w:r>
      <w:r w:rsidR="004D739D">
        <w:rPr>
          <w:rFonts w:ascii="Public Sans" w:hAnsi="Public Sans"/>
          <w:b/>
          <w:color w:val="auto"/>
          <w:sz w:val="22"/>
        </w:rPr>
        <w:t>(section 14(8))</w:t>
      </w:r>
    </w:p>
    <w:p w:rsidR="00565164" w:rsidRPr="00E71236" w:rsidRDefault="00A97390" w:rsidP="00910984">
      <w:pPr>
        <w:widowControl w:val="0"/>
        <w:rPr>
          <w:rFonts w:ascii="Public Sans" w:hAnsi="Public Sans"/>
          <w:sz w:val="22"/>
        </w:rPr>
      </w:pPr>
      <w:r>
        <w:rPr>
          <w:rFonts w:ascii="Public Sans" w:hAnsi="Public Sans"/>
          <w:sz w:val="22"/>
        </w:rPr>
        <w:t xml:space="preserve">The exchange of information provisions under section 14 of the Act are very important to the ADC’s work in responding to reports. </w:t>
      </w:r>
      <w:r w:rsidR="00E408F8" w:rsidRPr="00E408F8">
        <w:rPr>
          <w:rFonts w:ascii="Public Sans" w:hAnsi="Public Sans"/>
          <w:sz w:val="22"/>
        </w:rPr>
        <w:t xml:space="preserve">Section 14 information sharing arrangements are limited to ‘relevant agencies’. In the past year, </w:t>
      </w:r>
      <w:r w:rsidR="00E408F8">
        <w:rPr>
          <w:rFonts w:ascii="Public Sans" w:hAnsi="Public Sans"/>
          <w:sz w:val="22"/>
        </w:rPr>
        <w:t>the ADC</w:t>
      </w:r>
      <w:r w:rsidR="00E408F8" w:rsidRPr="00E408F8">
        <w:rPr>
          <w:rFonts w:ascii="Public Sans" w:hAnsi="Public Sans"/>
          <w:sz w:val="22"/>
        </w:rPr>
        <w:t xml:space="preserve"> expanded the range of public sector agencies that are listed in the Act or Regulation as a ‘relevant agency’</w:t>
      </w:r>
      <w:r w:rsidR="00E408F8">
        <w:rPr>
          <w:rFonts w:ascii="Public Sans" w:hAnsi="Public Sans"/>
          <w:sz w:val="22"/>
        </w:rPr>
        <w:t xml:space="preserve"> – this included the addition of some Commonwealth government agencies such as Services Australia.</w:t>
      </w:r>
    </w:p>
    <w:p w:rsidR="00E71236" w:rsidRDefault="00E71236" w:rsidP="00910984">
      <w:pPr>
        <w:pStyle w:val="BodyText"/>
        <w:widowControl w:val="0"/>
        <w:spacing w:before="0" w:after="0" w:line="240" w:lineRule="auto"/>
        <w:rPr>
          <w:rFonts w:ascii="Public Sans" w:hAnsi="Public Sans"/>
          <w:sz w:val="22"/>
        </w:rPr>
      </w:pPr>
    </w:p>
    <w:p w:rsidR="00934329" w:rsidRPr="00E408F8" w:rsidRDefault="00934329" w:rsidP="00910984">
      <w:pPr>
        <w:widowControl w:val="0"/>
        <w:rPr>
          <w:rFonts w:ascii="Public Sans" w:hAnsi="Public Sans"/>
          <w:sz w:val="22"/>
        </w:rPr>
      </w:pPr>
      <w:r w:rsidRPr="00E408F8">
        <w:rPr>
          <w:rFonts w:ascii="Public Sans" w:hAnsi="Public Sans"/>
          <w:sz w:val="22"/>
        </w:rPr>
        <w:t xml:space="preserve">However, </w:t>
      </w:r>
      <w:r w:rsidR="00E408F8">
        <w:rPr>
          <w:rFonts w:ascii="Public Sans" w:hAnsi="Public Sans"/>
          <w:sz w:val="22"/>
        </w:rPr>
        <w:t xml:space="preserve">the ADC </w:t>
      </w:r>
      <w:r w:rsidRPr="00E408F8">
        <w:rPr>
          <w:rFonts w:ascii="Public Sans" w:hAnsi="Public Sans"/>
          <w:sz w:val="22"/>
        </w:rPr>
        <w:t xml:space="preserve">had sought to include </w:t>
      </w:r>
      <w:r w:rsidR="00E408F8">
        <w:rPr>
          <w:rFonts w:ascii="Public Sans" w:hAnsi="Public Sans"/>
          <w:sz w:val="22"/>
        </w:rPr>
        <w:t xml:space="preserve">non-government organisations (such as </w:t>
      </w:r>
      <w:r w:rsidRPr="00E408F8">
        <w:rPr>
          <w:rFonts w:ascii="Public Sans" w:hAnsi="Public Sans"/>
          <w:sz w:val="22"/>
        </w:rPr>
        <w:t>aged care and disability providers</w:t>
      </w:r>
      <w:r w:rsidR="00E408F8">
        <w:rPr>
          <w:rFonts w:ascii="Public Sans" w:hAnsi="Public Sans"/>
          <w:sz w:val="22"/>
        </w:rPr>
        <w:t xml:space="preserve">), </w:t>
      </w:r>
      <w:r w:rsidRPr="00E408F8">
        <w:rPr>
          <w:rFonts w:ascii="Public Sans" w:hAnsi="Public Sans"/>
          <w:sz w:val="22"/>
        </w:rPr>
        <w:t>and private practitioners</w:t>
      </w:r>
      <w:r w:rsidR="00E408F8">
        <w:rPr>
          <w:rFonts w:ascii="Public Sans" w:hAnsi="Public Sans"/>
          <w:sz w:val="22"/>
        </w:rPr>
        <w:t xml:space="preserve"> (such as </w:t>
      </w:r>
      <w:r w:rsidR="00C279A7">
        <w:rPr>
          <w:rFonts w:ascii="Public Sans" w:hAnsi="Public Sans"/>
          <w:sz w:val="22"/>
        </w:rPr>
        <w:t>private health p</w:t>
      </w:r>
      <w:r w:rsidR="00E408F8">
        <w:rPr>
          <w:rFonts w:ascii="Public Sans" w:hAnsi="Public Sans"/>
          <w:sz w:val="22"/>
        </w:rPr>
        <w:t>ractitioners</w:t>
      </w:r>
      <w:r w:rsidR="00C279A7">
        <w:rPr>
          <w:rFonts w:ascii="Public Sans" w:hAnsi="Public Sans"/>
          <w:sz w:val="22"/>
        </w:rPr>
        <w:t>, and financial and legal services</w:t>
      </w:r>
      <w:r w:rsidR="00E408F8">
        <w:rPr>
          <w:rFonts w:ascii="Public Sans" w:hAnsi="Public Sans"/>
          <w:sz w:val="22"/>
        </w:rPr>
        <w:t xml:space="preserve">), </w:t>
      </w:r>
      <w:r w:rsidRPr="00E408F8">
        <w:rPr>
          <w:rFonts w:ascii="Public Sans" w:hAnsi="Public Sans"/>
          <w:sz w:val="22"/>
        </w:rPr>
        <w:t xml:space="preserve">within the scope of a relevant agency, as they are the parties that are primarily involved with adults with disability and older people, and who </w:t>
      </w:r>
      <w:r w:rsidR="00E408F8">
        <w:rPr>
          <w:rFonts w:ascii="Public Sans" w:hAnsi="Public Sans"/>
          <w:sz w:val="22"/>
        </w:rPr>
        <w:t xml:space="preserve">the ADC </w:t>
      </w:r>
      <w:r w:rsidRPr="00E408F8">
        <w:rPr>
          <w:rFonts w:ascii="Public Sans" w:hAnsi="Public Sans"/>
          <w:sz w:val="22"/>
        </w:rPr>
        <w:t>rel</w:t>
      </w:r>
      <w:r w:rsidR="00E408F8">
        <w:rPr>
          <w:rFonts w:ascii="Public Sans" w:hAnsi="Public Sans"/>
          <w:sz w:val="22"/>
        </w:rPr>
        <w:t>ies</w:t>
      </w:r>
      <w:r w:rsidRPr="00E408F8">
        <w:rPr>
          <w:rFonts w:ascii="Public Sans" w:hAnsi="Public Sans"/>
          <w:sz w:val="22"/>
        </w:rPr>
        <w:t xml:space="preserve"> on in our day-to-day work</w:t>
      </w:r>
      <w:r w:rsidR="00E408F8">
        <w:rPr>
          <w:rFonts w:ascii="Public Sans" w:hAnsi="Public Sans"/>
          <w:sz w:val="22"/>
        </w:rPr>
        <w:t xml:space="preserve"> in responding to reports and addressing abuse</w:t>
      </w:r>
      <w:r w:rsidRPr="00E408F8">
        <w:rPr>
          <w:rFonts w:ascii="Public Sans" w:hAnsi="Public Sans"/>
          <w:sz w:val="22"/>
        </w:rPr>
        <w:t xml:space="preserve">. We were not able to bring them in as relevant agencies as </w:t>
      </w:r>
      <w:r w:rsidR="00184D61">
        <w:rPr>
          <w:rFonts w:ascii="Public Sans" w:hAnsi="Public Sans"/>
          <w:sz w:val="22"/>
        </w:rPr>
        <w:t xml:space="preserve">we were advised by DCJ </w:t>
      </w:r>
      <w:r w:rsidRPr="00E408F8">
        <w:rPr>
          <w:rFonts w:ascii="Public Sans" w:hAnsi="Public Sans"/>
          <w:sz w:val="22"/>
        </w:rPr>
        <w:t xml:space="preserve">that this was not </w:t>
      </w:r>
      <w:r w:rsidR="00184D61">
        <w:rPr>
          <w:rFonts w:ascii="Public Sans" w:hAnsi="Public Sans"/>
          <w:sz w:val="22"/>
        </w:rPr>
        <w:t xml:space="preserve">considered to be </w:t>
      </w:r>
      <w:r w:rsidRPr="00E408F8">
        <w:rPr>
          <w:rFonts w:ascii="Public Sans" w:hAnsi="Public Sans"/>
          <w:sz w:val="22"/>
        </w:rPr>
        <w:t>in the scope of ‘person or body’ in s</w:t>
      </w:r>
      <w:r w:rsidR="00184D61">
        <w:rPr>
          <w:rFonts w:ascii="Public Sans" w:hAnsi="Public Sans"/>
          <w:sz w:val="22"/>
        </w:rPr>
        <w:t>ection</w:t>
      </w:r>
      <w:r w:rsidRPr="00E408F8">
        <w:rPr>
          <w:rFonts w:ascii="Public Sans" w:hAnsi="Public Sans"/>
          <w:sz w:val="22"/>
        </w:rPr>
        <w:t xml:space="preserve"> 14(8)(f).</w:t>
      </w:r>
    </w:p>
    <w:p w:rsidR="00E408F8" w:rsidRDefault="00E408F8" w:rsidP="00910984">
      <w:pPr>
        <w:widowControl w:val="0"/>
        <w:rPr>
          <w:rFonts w:ascii="Public Sans" w:hAnsi="Public Sans"/>
          <w:sz w:val="22"/>
        </w:rPr>
      </w:pPr>
    </w:p>
    <w:p w:rsidR="00934329" w:rsidRPr="00E408F8" w:rsidRDefault="00934329" w:rsidP="00910984">
      <w:pPr>
        <w:widowControl w:val="0"/>
        <w:rPr>
          <w:rFonts w:ascii="Public Sans" w:hAnsi="Public Sans"/>
          <w:sz w:val="22"/>
        </w:rPr>
      </w:pPr>
      <w:r w:rsidRPr="00E408F8">
        <w:rPr>
          <w:rFonts w:ascii="Public Sans" w:hAnsi="Public Sans"/>
          <w:sz w:val="22"/>
        </w:rPr>
        <w:t>The limitation of ‘relevant agency’ to primarily public sector agencies does not accurately reflect the nature of the work of the ADC and the key parties that are able to provide a service</w:t>
      </w:r>
      <w:r w:rsidR="0057131B">
        <w:rPr>
          <w:rFonts w:ascii="Public Sans" w:hAnsi="Public Sans"/>
          <w:sz w:val="22"/>
        </w:rPr>
        <w:t>, take action</w:t>
      </w:r>
      <w:r w:rsidR="00723987">
        <w:rPr>
          <w:rFonts w:ascii="Public Sans" w:hAnsi="Public Sans"/>
          <w:sz w:val="22"/>
        </w:rPr>
        <w:t>,</w:t>
      </w:r>
      <w:r w:rsidRPr="00E408F8">
        <w:rPr>
          <w:rFonts w:ascii="Public Sans" w:hAnsi="Public Sans"/>
          <w:sz w:val="22"/>
        </w:rPr>
        <w:t xml:space="preserve"> and support the adults in reports to the ADC</w:t>
      </w:r>
      <w:r w:rsidR="0057131B">
        <w:rPr>
          <w:rFonts w:ascii="Public Sans" w:hAnsi="Public Sans"/>
          <w:sz w:val="22"/>
        </w:rPr>
        <w:t xml:space="preserve"> (consistent with section 14(1) of the Act)</w:t>
      </w:r>
      <w:r w:rsidRPr="00E408F8">
        <w:rPr>
          <w:rFonts w:ascii="Public Sans" w:hAnsi="Public Sans"/>
          <w:sz w:val="22"/>
        </w:rPr>
        <w:t>.</w:t>
      </w:r>
      <w:r w:rsidR="0057131B">
        <w:rPr>
          <w:rFonts w:ascii="Public Sans" w:hAnsi="Public Sans"/>
          <w:sz w:val="22"/>
        </w:rPr>
        <w:t xml:space="preserve"> We are keen to resolve this issue as soon as possible, through legislative change or any other pathway that is identified in this review. </w:t>
      </w:r>
      <w:r w:rsidR="00184D61">
        <w:rPr>
          <w:rFonts w:ascii="Public Sans" w:hAnsi="Public Sans"/>
          <w:sz w:val="22"/>
        </w:rPr>
        <w:t xml:space="preserve">  </w:t>
      </w:r>
    </w:p>
    <w:p w:rsidR="00934329" w:rsidRDefault="00934329" w:rsidP="00910984">
      <w:pPr>
        <w:pStyle w:val="BodyText"/>
        <w:widowControl w:val="0"/>
        <w:spacing w:before="0" w:after="0" w:line="240" w:lineRule="auto"/>
        <w:rPr>
          <w:rFonts w:ascii="Public Sans" w:hAnsi="Public Sans"/>
          <w:sz w:val="22"/>
        </w:rPr>
      </w:pPr>
    </w:p>
    <w:p w:rsidR="00934329" w:rsidRDefault="00934329" w:rsidP="00910984">
      <w:pPr>
        <w:pStyle w:val="Heading5"/>
        <w:keepNext w:val="0"/>
        <w:keepLines w:val="0"/>
        <w:widowControl w:val="0"/>
        <w:spacing w:before="0"/>
        <w:rPr>
          <w:rFonts w:ascii="Public Sans" w:hAnsi="Public Sans"/>
          <w:b/>
          <w:color w:val="auto"/>
          <w:sz w:val="22"/>
        </w:rPr>
      </w:pPr>
      <w:r w:rsidRPr="0057131B">
        <w:rPr>
          <w:rFonts w:ascii="Public Sans" w:hAnsi="Public Sans"/>
          <w:b/>
          <w:color w:val="auto"/>
          <w:sz w:val="22"/>
        </w:rPr>
        <w:t>Broader information sharing provisions to promote safety</w:t>
      </w:r>
    </w:p>
    <w:p w:rsidR="00934329" w:rsidRPr="0057131B" w:rsidRDefault="00934329" w:rsidP="00910984">
      <w:pPr>
        <w:widowControl w:val="0"/>
        <w:rPr>
          <w:rFonts w:ascii="Public Sans" w:hAnsi="Public Sans"/>
          <w:sz w:val="22"/>
        </w:rPr>
      </w:pPr>
      <w:r w:rsidRPr="0057131B">
        <w:rPr>
          <w:rFonts w:ascii="Public Sans" w:hAnsi="Public Sans"/>
          <w:sz w:val="22"/>
        </w:rPr>
        <w:t>The NSW Ombudsman’s report to Parliament on abuse and negl</w:t>
      </w:r>
      <w:r w:rsidR="00F46653">
        <w:rPr>
          <w:rFonts w:ascii="Public Sans" w:hAnsi="Public Sans"/>
          <w:sz w:val="22"/>
        </w:rPr>
        <w:t xml:space="preserve">ect of vulnerable adults in 2018 </w:t>
      </w:r>
      <w:r w:rsidRPr="0057131B">
        <w:rPr>
          <w:rFonts w:ascii="Public Sans" w:hAnsi="Public Sans"/>
          <w:sz w:val="22"/>
        </w:rPr>
        <w:t>included the recommendation that, as part of the establishment of the ADC, the NSW Government should ‘introduce legislative provisions to enable agencies that have responsibilities relating to the safety of vulnerable adults to be able to exchange information that promotes the safety of vulnerable adults</w:t>
      </w:r>
      <w:r w:rsidR="00CF3964">
        <w:rPr>
          <w:rFonts w:ascii="Public Sans" w:hAnsi="Public Sans"/>
          <w:sz w:val="22"/>
        </w:rPr>
        <w:t>.’</w:t>
      </w:r>
      <w:r w:rsidR="00F46653">
        <w:rPr>
          <w:rStyle w:val="FootnoteReference"/>
          <w:rFonts w:ascii="Public Sans" w:hAnsi="Public Sans"/>
          <w:sz w:val="22"/>
        </w:rPr>
        <w:footnoteReference w:id="3"/>
      </w:r>
      <w:r w:rsidRPr="0057131B">
        <w:rPr>
          <w:rFonts w:ascii="Public Sans" w:hAnsi="Public Sans"/>
          <w:sz w:val="22"/>
        </w:rPr>
        <w:t xml:space="preserve">  </w:t>
      </w:r>
    </w:p>
    <w:p w:rsidR="00723987" w:rsidRDefault="00723987" w:rsidP="00910984">
      <w:pPr>
        <w:widowControl w:val="0"/>
        <w:rPr>
          <w:rFonts w:ascii="Public Sans" w:hAnsi="Public Sans"/>
          <w:sz w:val="22"/>
        </w:rPr>
      </w:pPr>
    </w:p>
    <w:p w:rsidR="00934329" w:rsidRPr="0057131B" w:rsidRDefault="00934329" w:rsidP="00910984">
      <w:pPr>
        <w:widowControl w:val="0"/>
        <w:rPr>
          <w:rFonts w:ascii="Public Sans" w:hAnsi="Public Sans"/>
          <w:sz w:val="22"/>
        </w:rPr>
      </w:pPr>
      <w:r w:rsidRPr="0057131B">
        <w:rPr>
          <w:rFonts w:ascii="Public Sans" w:hAnsi="Public Sans"/>
          <w:sz w:val="22"/>
        </w:rPr>
        <w:t xml:space="preserve">While section 14 of the Act enables the ADC to share information with relevant agencies, this requires the ADC to be at the centre of the information exchange. In our view, it is vital that prescribed agencies are able to provide and receive information to promote and improve the safety of the adult at risk without the ADC having to facilitate all of the information exchange. </w:t>
      </w:r>
    </w:p>
    <w:p w:rsidR="0057131B" w:rsidRDefault="0057131B" w:rsidP="00910984">
      <w:pPr>
        <w:widowControl w:val="0"/>
        <w:rPr>
          <w:rFonts w:ascii="Public Sans" w:hAnsi="Public Sans"/>
          <w:sz w:val="22"/>
        </w:rPr>
      </w:pPr>
    </w:p>
    <w:p w:rsidR="00934329" w:rsidRPr="0057131B" w:rsidRDefault="00934329" w:rsidP="00910984">
      <w:pPr>
        <w:widowControl w:val="0"/>
        <w:rPr>
          <w:rFonts w:ascii="Public Sans" w:hAnsi="Public Sans"/>
          <w:sz w:val="22"/>
        </w:rPr>
      </w:pPr>
      <w:r w:rsidRPr="0057131B">
        <w:rPr>
          <w:rFonts w:ascii="Public Sans" w:hAnsi="Public Sans"/>
          <w:sz w:val="22"/>
        </w:rPr>
        <w:t xml:space="preserve">Given the focus is adults, we do not </w:t>
      </w:r>
      <w:r w:rsidR="00BB39E8">
        <w:rPr>
          <w:rFonts w:ascii="Public Sans" w:hAnsi="Public Sans"/>
          <w:sz w:val="22"/>
        </w:rPr>
        <w:t>propose</w:t>
      </w:r>
      <w:r w:rsidRPr="0057131B">
        <w:rPr>
          <w:rFonts w:ascii="Public Sans" w:hAnsi="Public Sans"/>
          <w:sz w:val="22"/>
        </w:rPr>
        <w:t xml:space="preserve"> to have provisions that are as broad as Chapter 16A of the </w:t>
      </w:r>
      <w:r w:rsidRPr="00FA6978">
        <w:rPr>
          <w:rFonts w:ascii="Public Sans" w:hAnsi="Public Sans"/>
          <w:i/>
          <w:sz w:val="22"/>
        </w:rPr>
        <w:t>C</w:t>
      </w:r>
      <w:r w:rsidR="007C515A" w:rsidRPr="00FA6978">
        <w:rPr>
          <w:rFonts w:ascii="Public Sans" w:hAnsi="Public Sans"/>
          <w:i/>
          <w:sz w:val="22"/>
        </w:rPr>
        <w:t xml:space="preserve">hildren and Young Persons (Care and Protection) </w:t>
      </w:r>
      <w:r w:rsidRPr="00FA6978">
        <w:rPr>
          <w:rFonts w:ascii="Public Sans" w:hAnsi="Public Sans"/>
          <w:i/>
          <w:sz w:val="22"/>
        </w:rPr>
        <w:t xml:space="preserve">Act </w:t>
      </w:r>
      <w:r w:rsidR="00FA6978" w:rsidRPr="00FA6978">
        <w:rPr>
          <w:rFonts w:ascii="Public Sans" w:hAnsi="Public Sans"/>
          <w:i/>
          <w:sz w:val="22"/>
        </w:rPr>
        <w:t>1998</w:t>
      </w:r>
      <w:r w:rsidR="00FA6978">
        <w:rPr>
          <w:rFonts w:ascii="Public Sans" w:hAnsi="Public Sans"/>
          <w:sz w:val="22"/>
        </w:rPr>
        <w:t xml:space="preserve"> </w:t>
      </w:r>
      <w:r w:rsidRPr="0057131B">
        <w:rPr>
          <w:rFonts w:ascii="Public Sans" w:hAnsi="Public Sans"/>
          <w:sz w:val="22"/>
        </w:rPr>
        <w:t>(i</w:t>
      </w:r>
      <w:r w:rsidR="007C515A">
        <w:rPr>
          <w:rFonts w:ascii="Public Sans" w:hAnsi="Public Sans"/>
          <w:sz w:val="22"/>
        </w:rPr>
        <w:t>.</w:t>
      </w:r>
      <w:r w:rsidRPr="0057131B">
        <w:rPr>
          <w:rFonts w:ascii="Public Sans" w:hAnsi="Public Sans"/>
          <w:sz w:val="22"/>
        </w:rPr>
        <w:t>e</w:t>
      </w:r>
      <w:r w:rsidR="007C515A">
        <w:rPr>
          <w:rFonts w:ascii="Public Sans" w:hAnsi="Public Sans"/>
          <w:sz w:val="22"/>
        </w:rPr>
        <w:t xml:space="preserve">. </w:t>
      </w:r>
      <w:r w:rsidRPr="0057131B">
        <w:rPr>
          <w:rFonts w:ascii="Public Sans" w:hAnsi="Public Sans"/>
          <w:sz w:val="22"/>
        </w:rPr>
        <w:t>safety, welfare and wellbeing)</w:t>
      </w:r>
      <w:r w:rsidR="007C515A">
        <w:rPr>
          <w:rFonts w:ascii="Public Sans" w:hAnsi="Public Sans"/>
          <w:sz w:val="22"/>
        </w:rPr>
        <w:t xml:space="preserve">. We believe </w:t>
      </w:r>
      <w:r w:rsidRPr="0057131B">
        <w:rPr>
          <w:rFonts w:ascii="Public Sans" w:hAnsi="Public Sans"/>
          <w:sz w:val="22"/>
        </w:rPr>
        <w:t xml:space="preserve">it should relate to the </w:t>
      </w:r>
      <w:r w:rsidR="007C515A" w:rsidRPr="007C515A">
        <w:rPr>
          <w:rFonts w:ascii="Public Sans" w:hAnsi="Public Sans"/>
          <w:i/>
          <w:sz w:val="22"/>
        </w:rPr>
        <w:t>safety</w:t>
      </w:r>
      <w:r w:rsidR="007C515A">
        <w:rPr>
          <w:rFonts w:ascii="Public Sans" w:hAnsi="Public Sans"/>
          <w:sz w:val="22"/>
        </w:rPr>
        <w:t xml:space="preserve"> </w:t>
      </w:r>
      <w:r w:rsidRPr="0057131B">
        <w:rPr>
          <w:rFonts w:ascii="Public Sans" w:hAnsi="Public Sans"/>
          <w:sz w:val="22"/>
        </w:rPr>
        <w:t xml:space="preserve">of adults with disability and older people. </w:t>
      </w:r>
    </w:p>
    <w:p w:rsidR="0057131B" w:rsidRDefault="0057131B" w:rsidP="00910984">
      <w:pPr>
        <w:widowControl w:val="0"/>
        <w:rPr>
          <w:rFonts w:ascii="Public Sans" w:hAnsi="Public Sans"/>
          <w:sz w:val="22"/>
        </w:rPr>
      </w:pPr>
    </w:p>
    <w:p w:rsidR="00934329" w:rsidRPr="0057131B" w:rsidRDefault="00934329" w:rsidP="00910984">
      <w:pPr>
        <w:widowControl w:val="0"/>
        <w:rPr>
          <w:rFonts w:ascii="Public Sans" w:hAnsi="Public Sans"/>
          <w:sz w:val="22"/>
        </w:rPr>
      </w:pPr>
      <w:r w:rsidRPr="0057131B">
        <w:rPr>
          <w:rFonts w:ascii="Public Sans" w:hAnsi="Public Sans"/>
          <w:sz w:val="22"/>
        </w:rPr>
        <w:t xml:space="preserve">In previous consultations on this with the disability sector by the Ombudsman’s office, there was strong support for information sharing arrangements that focus on safety. In recent consultations by the ADC with key aged care providers/peak agencies, there was also strong support for information sharing provisions. </w:t>
      </w:r>
    </w:p>
    <w:p w:rsidR="00934329" w:rsidRPr="0057131B" w:rsidRDefault="00934329" w:rsidP="00910984">
      <w:pPr>
        <w:pStyle w:val="BodyText"/>
        <w:widowControl w:val="0"/>
        <w:spacing w:before="0" w:after="0" w:line="240" w:lineRule="auto"/>
        <w:rPr>
          <w:rFonts w:ascii="Public Sans" w:hAnsi="Public Sans"/>
          <w:sz w:val="22"/>
        </w:rPr>
      </w:pPr>
    </w:p>
    <w:p w:rsidR="00934329" w:rsidRDefault="007C515A" w:rsidP="00910984">
      <w:pPr>
        <w:pStyle w:val="BodyText"/>
        <w:widowControl w:val="0"/>
        <w:spacing w:before="0" w:after="0" w:line="240" w:lineRule="auto"/>
        <w:rPr>
          <w:rFonts w:ascii="Public Sans" w:hAnsi="Public Sans"/>
          <w:sz w:val="22"/>
        </w:rPr>
      </w:pPr>
      <w:r>
        <w:rPr>
          <w:rFonts w:ascii="Public Sans" w:hAnsi="Public Sans"/>
          <w:sz w:val="22"/>
        </w:rPr>
        <w:t xml:space="preserve">The ADC previously </w:t>
      </w:r>
      <w:r w:rsidR="00934329" w:rsidRPr="0057131B">
        <w:rPr>
          <w:rFonts w:ascii="Public Sans" w:hAnsi="Public Sans"/>
          <w:sz w:val="22"/>
        </w:rPr>
        <w:t xml:space="preserve">raised </w:t>
      </w:r>
      <w:r>
        <w:rPr>
          <w:rFonts w:ascii="Public Sans" w:hAnsi="Public Sans"/>
          <w:sz w:val="22"/>
        </w:rPr>
        <w:t xml:space="preserve">this issue </w:t>
      </w:r>
      <w:r w:rsidR="00934329" w:rsidRPr="0057131B">
        <w:rPr>
          <w:rFonts w:ascii="Public Sans" w:hAnsi="Public Sans"/>
          <w:sz w:val="22"/>
        </w:rPr>
        <w:t xml:space="preserve">with DCJ </w:t>
      </w:r>
      <w:r>
        <w:rPr>
          <w:rFonts w:ascii="Public Sans" w:hAnsi="Public Sans"/>
          <w:sz w:val="22"/>
        </w:rPr>
        <w:t>and was</w:t>
      </w:r>
      <w:r w:rsidR="00934329" w:rsidRPr="0057131B">
        <w:rPr>
          <w:rFonts w:ascii="Public Sans" w:hAnsi="Public Sans"/>
          <w:sz w:val="22"/>
        </w:rPr>
        <w:t xml:space="preserve"> advised that the Act places a high importance on the consent of the adult where that is possible</w:t>
      </w:r>
      <w:r>
        <w:rPr>
          <w:rFonts w:ascii="Public Sans" w:hAnsi="Public Sans"/>
          <w:sz w:val="22"/>
        </w:rPr>
        <w:t xml:space="preserve">, and </w:t>
      </w:r>
      <w:r w:rsidR="00934329" w:rsidRPr="0057131B">
        <w:rPr>
          <w:rFonts w:ascii="Public Sans" w:hAnsi="Public Sans"/>
          <w:sz w:val="22"/>
        </w:rPr>
        <w:t xml:space="preserve">permissive information sharing that is not centred around the consent of the individual is a departure from that policy position. </w:t>
      </w:r>
      <w:r w:rsidR="00934329" w:rsidRPr="0057131B">
        <w:rPr>
          <w:rFonts w:ascii="Public Sans" w:hAnsi="Public Sans"/>
          <w:sz w:val="22"/>
        </w:rPr>
        <w:br/>
      </w:r>
    </w:p>
    <w:p w:rsidR="00FA6978" w:rsidRDefault="00FA6978" w:rsidP="00910984">
      <w:pPr>
        <w:pStyle w:val="BodyText"/>
        <w:widowControl w:val="0"/>
        <w:spacing w:before="0" w:after="0" w:line="240" w:lineRule="auto"/>
        <w:rPr>
          <w:rFonts w:ascii="Public Sans" w:hAnsi="Public Sans"/>
          <w:sz w:val="22"/>
        </w:rPr>
      </w:pPr>
      <w:r>
        <w:rPr>
          <w:rFonts w:ascii="Public Sans" w:hAnsi="Public Sans"/>
          <w:sz w:val="22"/>
        </w:rPr>
        <w:lastRenderedPageBreak/>
        <w:t xml:space="preserve">We note that section 43 of the </w:t>
      </w:r>
      <w:r w:rsidRPr="00FA6978">
        <w:rPr>
          <w:rFonts w:ascii="Public Sans" w:hAnsi="Public Sans"/>
          <w:i/>
          <w:sz w:val="22"/>
        </w:rPr>
        <w:t>Ageing and Adult Safeguarding Act 1995 [SA]</w:t>
      </w:r>
      <w:r>
        <w:rPr>
          <w:rFonts w:ascii="Public Sans" w:hAnsi="Public Sans"/>
          <w:sz w:val="22"/>
        </w:rPr>
        <w:t xml:space="preserve"> enables information sharing between prescribed agencies </w:t>
      </w:r>
      <w:r w:rsidR="00DE392B">
        <w:rPr>
          <w:rFonts w:ascii="Public Sans" w:hAnsi="Public Sans"/>
          <w:sz w:val="22"/>
        </w:rPr>
        <w:t>of</w:t>
      </w:r>
      <w:r>
        <w:rPr>
          <w:rFonts w:ascii="Public Sans" w:hAnsi="Public Sans"/>
          <w:sz w:val="22"/>
        </w:rPr>
        <w:t xml:space="preserve"> prescribed information and documents </w:t>
      </w:r>
      <w:r w:rsidR="00DE392B">
        <w:rPr>
          <w:rFonts w:ascii="Public Sans" w:hAnsi="Public Sans"/>
          <w:sz w:val="22"/>
        </w:rPr>
        <w:t>where a</w:t>
      </w:r>
      <w:r w:rsidR="00863AC0">
        <w:rPr>
          <w:rFonts w:ascii="Public Sans" w:hAnsi="Public Sans"/>
          <w:sz w:val="22"/>
        </w:rPr>
        <w:t xml:space="preserve">n </w:t>
      </w:r>
      <w:r w:rsidR="00DE392B">
        <w:rPr>
          <w:rFonts w:ascii="Public Sans" w:hAnsi="Public Sans"/>
          <w:sz w:val="22"/>
        </w:rPr>
        <w:t>agency reasonably believes that the provision of the information or documents would assist another agency:</w:t>
      </w:r>
    </w:p>
    <w:p w:rsidR="00DE392B" w:rsidRDefault="00DE392B" w:rsidP="000866C5">
      <w:pPr>
        <w:pStyle w:val="BodyText"/>
        <w:widowControl w:val="0"/>
        <w:numPr>
          <w:ilvl w:val="0"/>
          <w:numId w:val="26"/>
        </w:numPr>
        <w:spacing w:before="0" w:after="0" w:line="240" w:lineRule="auto"/>
        <w:rPr>
          <w:rFonts w:ascii="Public Sans" w:hAnsi="Public Sans"/>
          <w:sz w:val="22"/>
        </w:rPr>
      </w:pPr>
      <w:r>
        <w:rPr>
          <w:rFonts w:ascii="Public Sans" w:hAnsi="Public Sans"/>
          <w:sz w:val="22"/>
        </w:rPr>
        <w:t>to perform official functions relating to the health, safety, welfare or wellbeing of a vulnerable adult or class of vulnerable adults</w:t>
      </w:r>
      <w:r w:rsidR="00863AC0">
        <w:rPr>
          <w:rFonts w:ascii="Public Sans" w:hAnsi="Public Sans"/>
          <w:sz w:val="22"/>
        </w:rPr>
        <w:t>; or</w:t>
      </w:r>
    </w:p>
    <w:p w:rsidR="00DE392B" w:rsidRPr="00DE392B" w:rsidRDefault="00DE392B" w:rsidP="000866C5">
      <w:pPr>
        <w:pStyle w:val="BodyText"/>
        <w:widowControl w:val="0"/>
        <w:numPr>
          <w:ilvl w:val="0"/>
          <w:numId w:val="26"/>
        </w:numPr>
        <w:spacing w:before="0" w:after="0" w:line="240" w:lineRule="auto"/>
        <w:rPr>
          <w:rFonts w:ascii="Public Sans" w:hAnsi="Public Sans"/>
          <w:sz w:val="22"/>
          <w:szCs w:val="22"/>
        </w:rPr>
      </w:pPr>
      <w:r w:rsidRPr="00DE392B">
        <w:rPr>
          <w:rFonts w:ascii="Public Sans" w:hAnsi="Public Sans"/>
          <w:sz w:val="22"/>
          <w:szCs w:val="22"/>
          <w:shd w:val="clear" w:color="auto" w:fill="FFFFFF"/>
        </w:rPr>
        <w:t>to manage any risk to a</w:t>
      </w:r>
      <w:r>
        <w:rPr>
          <w:rFonts w:ascii="Public Sans" w:hAnsi="Public Sans"/>
          <w:sz w:val="22"/>
          <w:szCs w:val="22"/>
          <w:shd w:val="clear" w:color="auto" w:fill="FFFFFF"/>
        </w:rPr>
        <w:t xml:space="preserve"> vulnerable adult </w:t>
      </w:r>
      <w:r w:rsidRPr="00DE392B">
        <w:rPr>
          <w:rFonts w:ascii="Public Sans" w:hAnsi="Public Sans"/>
          <w:sz w:val="22"/>
          <w:szCs w:val="22"/>
          <w:shd w:val="clear" w:color="auto" w:fill="FFFFFF"/>
        </w:rPr>
        <w:t>or class of</w:t>
      </w:r>
      <w:r>
        <w:rPr>
          <w:rFonts w:ascii="Public Sans" w:hAnsi="Public Sans"/>
          <w:sz w:val="22"/>
          <w:szCs w:val="22"/>
          <w:shd w:val="clear" w:color="auto" w:fill="FFFFFF"/>
        </w:rPr>
        <w:t xml:space="preserve"> vulnerable adults t</w:t>
      </w:r>
      <w:r w:rsidRPr="00DE392B">
        <w:rPr>
          <w:rFonts w:ascii="Public Sans" w:hAnsi="Public Sans"/>
          <w:sz w:val="22"/>
          <w:szCs w:val="22"/>
          <w:shd w:val="clear" w:color="auto" w:fill="FFFFFF"/>
        </w:rPr>
        <w:t>hat might arise in the</w:t>
      </w:r>
      <w:r>
        <w:rPr>
          <w:rFonts w:ascii="Public Sans" w:hAnsi="Public Sans"/>
          <w:sz w:val="22"/>
          <w:szCs w:val="22"/>
          <w:shd w:val="clear" w:color="auto" w:fill="FFFFFF"/>
        </w:rPr>
        <w:t xml:space="preserve"> agency’s</w:t>
      </w:r>
      <w:r w:rsidRPr="00DE392B">
        <w:rPr>
          <w:rFonts w:ascii="Public Sans" w:hAnsi="Public Sans"/>
          <w:sz w:val="22"/>
          <w:szCs w:val="22"/>
          <w:shd w:val="clear" w:color="auto" w:fill="FFFFFF"/>
        </w:rPr>
        <w:t xml:space="preserve"> capacity as an employer or</w:t>
      </w:r>
      <w:r>
        <w:rPr>
          <w:rFonts w:ascii="Public Sans" w:hAnsi="Public Sans"/>
          <w:sz w:val="22"/>
          <w:szCs w:val="22"/>
          <w:shd w:val="clear" w:color="auto" w:fill="FFFFFF"/>
        </w:rPr>
        <w:t xml:space="preserve"> provider o</w:t>
      </w:r>
      <w:r w:rsidRPr="00DE392B">
        <w:rPr>
          <w:rFonts w:ascii="Public Sans" w:hAnsi="Public Sans"/>
          <w:sz w:val="22"/>
          <w:szCs w:val="22"/>
          <w:shd w:val="clear" w:color="auto" w:fill="FFFFFF"/>
        </w:rPr>
        <w:t>f services.</w:t>
      </w:r>
    </w:p>
    <w:p w:rsidR="00FA6978" w:rsidRDefault="00FA6978" w:rsidP="00910984">
      <w:pPr>
        <w:pStyle w:val="BodyText"/>
        <w:widowControl w:val="0"/>
        <w:spacing w:before="0" w:after="0" w:line="240" w:lineRule="auto"/>
        <w:rPr>
          <w:rFonts w:ascii="Public Sans" w:hAnsi="Public Sans"/>
          <w:sz w:val="22"/>
        </w:rPr>
      </w:pPr>
    </w:p>
    <w:p w:rsidR="006C030B" w:rsidRDefault="007C3B9D" w:rsidP="00910984">
      <w:pPr>
        <w:pStyle w:val="BodyText"/>
        <w:widowControl w:val="0"/>
        <w:spacing w:before="0" w:after="0" w:line="240" w:lineRule="auto"/>
        <w:rPr>
          <w:rFonts w:ascii="Public Sans" w:hAnsi="Public Sans"/>
          <w:sz w:val="22"/>
        </w:rPr>
      </w:pPr>
      <w:r>
        <w:rPr>
          <w:rFonts w:ascii="Public Sans" w:hAnsi="Public Sans"/>
          <w:sz w:val="22"/>
        </w:rPr>
        <w:t>T</w:t>
      </w:r>
      <w:r w:rsidR="006C030B">
        <w:rPr>
          <w:rFonts w:ascii="Public Sans" w:hAnsi="Public Sans"/>
          <w:sz w:val="22"/>
        </w:rPr>
        <w:t>he importance of information sharing provisions for prescribed agencies in relation to abuse, neglect and exploitation of ‘at-risk adults’ has also been highlighted in recent reports on adult safeguarding in Queensland and Victoria, including:</w:t>
      </w:r>
    </w:p>
    <w:p w:rsidR="00517C0C" w:rsidRDefault="00A14018" w:rsidP="000866C5">
      <w:pPr>
        <w:pStyle w:val="BodyText"/>
        <w:widowControl w:val="0"/>
        <w:numPr>
          <w:ilvl w:val="0"/>
          <w:numId w:val="26"/>
        </w:numPr>
        <w:spacing w:after="0" w:line="240" w:lineRule="auto"/>
        <w:ind w:left="714" w:hanging="357"/>
        <w:rPr>
          <w:rFonts w:ascii="Public Sans" w:hAnsi="Public Sans"/>
          <w:sz w:val="22"/>
        </w:rPr>
      </w:pPr>
      <w:r>
        <w:rPr>
          <w:rFonts w:ascii="Public Sans" w:hAnsi="Public Sans"/>
          <w:sz w:val="22"/>
        </w:rPr>
        <w:t>T</w:t>
      </w:r>
      <w:r w:rsidR="006C030B">
        <w:rPr>
          <w:rFonts w:ascii="Public Sans" w:hAnsi="Public Sans"/>
          <w:sz w:val="22"/>
        </w:rPr>
        <w:t>he Queensland Public Advocate</w:t>
      </w:r>
      <w:r>
        <w:rPr>
          <w:rFonts w:ascii="Public Sans" w:hAnsi="Public Sans"/>
          <w:sz w:val="22"/>
        </w:rPr>
        <w:t xml:space="preserve"> has</w:t>
      </w:r>
      <w:r w:rsidR="006C030B">
        <w:rPr>
          <w:rFonts w:ascii="Public Sans" w:hAnsi="Public Sans"/>
          <w:sz w:val="22"/>
        </w:rPr>
        <w:t xml:space="preserve"> recommended a legislative provision, modelled on </w:t>
      </w:r>
      <w:r w:rsidR="008C00EC">
        <w:rPr>
          <w:rFonts w:ascii="Public Sans" w:hAnsi="Public Sans"/>
          <w:sz w:val="22"/>
        </w:rPr>
        <w:t xml:space="preserve">that in </w:t>
      </w:r>
      <w:r w:rsidR="006C030B">
        <w:rPr>
          <w:rFonts w:ascii="Public Sans" w:hAnsi="Public Sans"/>
          <w:sz w:val="22"/>
        </w:rPr>
        <w:t xml:space="preserve">South Australia, to enable certain prescribed agencies </w:t>
      </w:r>
      <w:r w:rsidR="00517C0C">
        <w:rPr>
          <w:rFonts w:ascii="Public Sans" w:hAnsi="Public Sans"/>
          <w:sz w:val="22"/>
        </w:rPr>
        <w:t>‘to provide personal information about at-risk adults to other prescribed agencies in circumstances where the provider of the information reasonably believes that the information will assist the recipient:</w:t>
      </w:r>
    </w:p>
    <w:p w:rsidR="00517C0C" w:rsidRDefault="00517C0C" w:rsidP="000866C5">
      <w:pPr>
        <w:pStyle w:val="BodyText"/>
        <w:widowControl w:val="0"/>
        <w:numPr>
          <w:ilvl w:val="1"/>
          <w:numId w:val="26"/>
        </w:numPr>
        <w:spacing w:before="0" w:after="0" w:line="240" w:lineRule="auto"/>
        <w:rPr>
          <w:rFonts w:ascii="Public Sans" w:hAnsi="Public Sans"/>
          <w:sz w:val="22"/>
        </w:rPr>
      </w:pPr>
      <w:r>
        <w:rPr>
          <w:rFonts w:ascii="Public Sans" w:hAnsi="Public Sans"/>
          <w:sz w:val="22"/>
        </w:rPr>
        <w:t>to exercise an official function concerning the safety or wellbeing of an at-risk adult; or</w:t>
      </w:r>
    </w:p>
    <w:p w:rsidR="00517C0C" w:rsidRDefault="00517C0C" w:rsidP="000866C5">
      <w:pPr>
        <w:pStyle w:val="BodyText"/>
        <w:widowControl w:val="0"/>
        <w:numPr>
          <w:ilvl w:val="1"/>
          <w:numId w:val="26"/>
        </w:numPr>
        <w:spacing w:before="0" w:after="0" w:line="240" w:lineRule="auto"/>
        <w:rPr>
          <w:rFonts w:ascii="Public Sans" w:hAnsi="Public Sans"/>
          <w:sz w:val="22"/>
        </w:rPr>
      </w:pPr>
      <w:r>
        <w:rPr>
          <w:rFonts w:ascii="Public Sans" w:hAnsi="Public Sans"/>
          <w:sz w:val="22"/>
        </w:rPr>
        <w:t>to address a concern about the safety or wellbeing of an at-risk adult that has arisen in the course of the provision of services to the adult.’</w:t>
      </w:r>
      <w:r>
        <w:rPr>
          <w:rStyle w:val="FootnoteReference"/>
          <w:rFonts w:ascii="Public Sans" w:hAnsi="Public Sans"/>
          <w:sz w:val="22"/>
        </w:rPr>
        <w:footnoteReference w:id="4"/>
      </w:r>
    </w:p>
    <w:p w:rsidR="006C030B" w:rsidRDefault="00A14018" w:rsidP="000866C5">
      <w:pPr>
        <w:pStyle w:val="BodyText"/>
        <w:widowControl w:val="0"/>
        <w:numPr>
          <w:ilvl w:val="0"/>
          <w:numId w:val="26"/>
        </w:numPr>
        <w:spacing w:after="0" w:line="240" w:lineRule="auto"/>
        <w:ind w:left="714" w:hanging="357"/>
        <w:rPr>
          <w:rFonts w:ascii="Public Sans" w:hAnsi="Public Sans"/>
          <w:sz w:val="22"/>
        </w:rPr>
      </w:pPr>
      <w:r>
        <w:rPr>
          <w:rFonts w:ascii="Public Sans" w:hAnsi="Public Sans"/>
          <w:sz w:val="22"/>
        </w:rPr>
        <w:t xml:space="preserve">The Victorian Public Advocate </w:t>
      </w:r>
      <w:r w:rsidR="00AD7948">
        <w:rPr>
          <w:rFonts w:ascii="Public Sans" w:hAnsi="Public Sans"/>
          <w:sz w:val="22"/>
        </w:rPr>
        <w:t xml:space="preserve">has </w:t>
      </w:r>
      <w:r>
        <w:rPr>
          <w:rFonts w:ascii="Public Sans" w:hAnsi="Public Sans"/>
          <w:sz w:val="22"/>
        </w:rPr>
        <w:t>noted that privacy obligations are generally poorly understood and ‘may have the unintended consequence of inhibiting information-sharing’.</w:t>
      </w:r>
      <w:r>
        <w:rPr>
          <w:rStyle w:val="FootnoteReference"/>
          <w:rFonts w:ascii="Public Sans" w:hAnsi="Public Sans"/>
          <w:sz w:val="22"/>
        </w:rPr>
        <w:footnoteReference w:id="5"/>
      </w:r>
      <w:r>
        <w:rPr>
          <w:rFonts w:ascii="Public Sans" w:hAnsi="Public Sans"/>
          <w:sz w:val="22"/>
        </w:rPr>
        <w:t xml:space="preserve"> </w:t>
      </w:r>
      <w:r w:rsidR="009C7815">
        <w:rPr>
          <w:rFonts w:ascii="Public Sans" w:hAnsi="Public Sans"/>
          <w:sz w:val="22"/>
        </w:rPr>
        <w:t>In relation to the</w:t>
      </w:r>
      <w:r w:rsidR="00AD7948">
        <w:rPr>
          <w:rFonts w:ascii="Public Sans" w:hAnsi="Public Sans"/>
          <w:sz w:val="22"/>
        </w:rPr>
        <w:t xml:space="preserve"> provisions in privacy legislation to share information without consent where it is necessary to lessen or prevent a serious threat to </w:t>
      </w:r>
      <w:r w:rsidR="009C7815">
        <w:rPr>
          <w:rFonts w:ascii="Public Sans" w:hAnsi="Public Sans"/>
          <w:sz w:val="22"/>
        </w:rPr>
        <w:t xml:space="preserve">the life, health or safety of an </w:t>
      </w:r>
      <w:r w:rsidR="00AD7948">
        <w:rPr>
          <w:rFonts w:ascii="Public Sans" w:hAnsi="Public Sans"/>
          <w:sz w:val="22"/>
        </w:rPr>
        <w:t>individual</w:t>
      </w:r>
      <w:r w:rsidR="009C7815">
        <w:rPr>
          <w:rFonts w:ascii="Public Sans" w:hAnsi="Public Sans"/>
          <w:sz w:val="22"/>
        </w:rPr>
        <w:t xml:space="preserve">, the Public Advocate noted that there is a lack of certainty about whether it encompasses financial harm. </w:t>
      </w:r>
    </w:p>
    <w:p w:rsidR="00AD7948" w:rsidRDefault="00AD7948" w:rsidP="00910984">
      <w:pPr>
        <w:pStyle w:val="BodyText"/>
        <w:widowControl w:val="0"/>
        <w:spacing w:before="0" w:after="0" w:line="240" w:lineRule="auto"/>
        <w:rPr>
          <w:rFonts w:ascii="Public Sans" w:hAnsi="Public Sans"/>
          <w:sz w:val="22"/>
        </w:rPr>
      </w:pPr>
    </w:p>
    <w:p w:rsidR="00AD7948" w:rsidRPr="00260250" w:rsidRDefault="00260250" w:rsidP="00910984">
      <w:pPr>
        <w:pStyle w:val="Heading3"/>
        <w:keepNext w:val="0"/>
        <w:keepLines w:val="0"/>
        <w:widowControl w:val="0"/>
        <w:spacing w:before="0"/>
        <w:rPr>
          <w:rFonts w:ascii="Public Sans" w:hAnsi="Public Sans"/>
          <w:b/>
          <w:color w:val="auto"/>
        </w:rPr>
      </w:pPr>
      <w:r w:rsidRPr="00260250">
        <w:rPr>
          <w:rFonts w:ascii="Public Sans" w:hAnsi="Public Sans"/>
          <w:b/>
          <w:color w:val="auto"/>
        </w:rPr>
        <w:t>Division 2 – Investigations and public inquiries</w:t>
      </w:r>
    </w:p>
    <w:p w:rsidR="00016AE1" w:rsidRDefault="00016AE1" w:rsidP="00910984">
      <w:pPr>
        <w:pStyle w:val="BodyText"/>
        <w:widowControl w:val="0"/>
        <w:spacing w:before="0" w:after="0" w:line="240" w:lineRule="auto"/>
        <w:rPr>
          <w:rFonts w:ascii="Public Sans" w:hAnsi="Public Sans"/>
          <w:sz w:val="22"/>
        </w:rPr>
      </w:pPr>
      <w:r w:rsidRPr="00016AE1">
        <w:rPr>
          <w:rFonts w:ascii="Public Sans" w:hAnsi="Public Sans"/>
          <w:sz w:val="22"/>
        </w:rPr>
        <w:t xml:space="preserve">Overall, the investigation and public inquiry powers are appropriate and sufficient to achieve the objectives of the Act. </w:t>
      </w:r>
    </w:p>
    <w:p w:rsidR="00016AE1" w:rsidRDefault="00016AE1" w:rsidP="00910984">
      <w:pPr>
        <w:pStyle w:val="BodyText"/>
        <w:widowControl w:val="0"/>
        <w:spacing w:before="0" w:after="0" w:line="240" w:lineRule="auto"/>
        <w:rPr>
          <w:rFonts w:ascii="Public Sans" w:hAnsi="Public Sans"/>
          <w:sz w:val="22"/>
        </w:rPr>
      </w:pPr>
    </w:p>
    <w:p w:rsidR="00786AE3" w:rsidRDefault="00016AE1" w:rsidP="00910984">
      <w:pPr>
        <w:pStyle w:val="BodyText"/>
        <w:widowControl w:val="0"/>
        <w:spacing w:before="0" w:after="0" w:line="240" w:lineRule="auto"/>
        <w:rPr>
          <w:rFonts w:ascii="Public Sans" w:hAnsi="Public Sans"/>
          <w:sz w:val="22"/>
        </w:rPr>
      </w:pPr>
      <w:r>
        <w:rPr>
          <w:rFonts w:ascii="Public Sans" w:hAnsi="Public Sans"/>
          <w:sz w:val="22"/>
        </w:rPr>
        <w:t xml:space="preserve">While the ADC has not yet had to apply for or execute a search warrant, this is because to date we have employed alternative options for gaining direct access to the adult with disability or older person, and identifying their </w:t>
      </w:r>
      <w:r w:rsidR="008C00EC">
        <w:rPr>
          <w:rFonts w:ascii="Public Sans" w:hAnsi="Public Sans"/>
          <w:sz w:val="22"/>
        </w:rPr>
        <w:t xml:space="preserve">need for </w:t>
      </w:r>
      <w:r>
        <w:rPr>
          <w:rFonts w:ascii="Public Sans" w:hAnsi="Public Sans"/>
          <w:sz w:val="22"/>
        </w:rPr>
        <w:t xml:space="preserve">health or medical intervention. </w:t>
      </w:r>
      <w:r w:rsidR="007D6256">
        <w:rPr>
          <w:rFonts w:ascii="Public Sans" w:hAnsi="Public Sans"/>
          <w:sz w:val="22"/>
        </w:rPr>
        <w:t xml:space="preserve">These options have included using section 16 notices to require the attendance of the adult (and the subject of allegation where appropriate) to attend a meeting with us or another party, such as a medical practitioner; and calling for an ambulance to attend the adult’s home to assess their need for medical intervention or treatment. </w:t>
      </w:r>
      <w:r w:rsidR="00786AE3">
        <w:rPr>
          <w:rFonts w:ascii="Public Sans" w:hAnsi="Public Sans"/>
          <w:sz w:val="22"/>
        </w:rPr>
        <w:t xml:space="preserve">We recognise that entering the premises where the adult is located under a search warrant is likely to be distressing for them and others; if we can achieve the necessary outcome through less intrusive means we prefer to do so. </w:t>
      </w:r>
    </w:p>
    <w:p w:rsidR="00786AE3" w:rsidRDefault="00786AE3" w:rsidP="00910984">
      <w:pPr>
        <w:pStyle w:val="BodyText"/>
        <w:widowControl w:val="0"/>
        <w:spacing w:before="0" w:after="0" w:line="240" w:lineRule="auto"/>
        <w:rPr>
          <w:rFonts w:ascii="Public Sans" w:hAnsi="Public Sans"/>
          <w:sz w:val="22"/>
        </w:rPr>
      </w:pPr>
    </w:p>
    <w:p w:rsidR="00016AE1" w:rsidRDefault="007D6256" w:rsidP="00910984">
      <w:pPr>
        <w:pStyle w:val="BodyText"/>
        <w:widowControl w:val="0"/>
        <w:spacing w:before="0" w:after="0" w:line="240" w:lineRule="auto"/>
        <w:rPr>
          <w:rFonts w:ascii="Public Sans" w:hAnsi="Public Sans"/>
          <w:sz w:val="22"/>
        </w:rPr>
      </w:pPr>
      <w:r>
        <w:rPr>
          <w:rFonts w:ascii="Public Sans" w:hAnsi="Public Sans"/>
          <w:sz w:val="22"/>
        </w:rPr>
        <w:t>However, there continues to be a need for the ADC to have the power to apply for and execute a search warrant in relevant cases</w:t>
      </w:r>
      <w:r w:rsidR="00786AE3">
        <w:rPr>
          <w:rFonts w:ascii="Public Sans" w:hAnsi="Public Sans"/>
          <w:sz w:val="22"/>
        </w:rPr>
        <w:t>. T</w:t>
      </w:r>
      <w:r>
        <w:rPr>
          <w:rFonts w:ascii="Public Sans" w:hAnsi="Public Sans"/>
          <w:sz w:val="22"/>
        </w:rPr>
        <w:t xml:space="preserve">here have been a couple of matters in which we have been about to take this step </w:t>
      </w:r>
      <w:r w:rsidR="00786AE3">
        <w:rPr>
          <w:rFonts w:ascii="Public Sans" w:hAnsi="Public Sans"/>
          <w:sz w:val="22"/>
        </w:rPr>
        <w:t xml:space="preserve">when </w:t>
      </w:r>
      <w:r>
        <w:rPr>
          <w:rFonts w:ascii="Public Sans" w:hAnsi="Public Sans"/>
          <w:sz w:val="22"/>
        </w:rPr>
        <w:t xml:space="preserve">another option </w:t>
      </w:r>
      <w:r w:rsidR="00786AE3">
        <w:rPr>
          <w:rFonts w:ascii="Public Sans" w:hAnsi="Public Sans"/>
          <w:sz w:val="22"/>
        </w:rPr>
        <w:t>proved to be</w:t>
      </w:r>
      <w:r>
        <w:rPr>
          <w:rFonts w:ascii="Public Sans" w:hAnsi="Public Sans"/>
          <w:sz w:val="22"/>
        </w:rPr>
        <w:t xml:space="preserve"> successful</w:t>
      </w:r>
      <w:r w:rsidR="00786AE3">
        <w:rPr>
          <w:rFonts w:ascii="Public Sans" w:hAnsi="Public Sans"/>
          <w:sz w:val="22"/>
        </w:rPr>
        <w:t>;</w:t>
      </w:r>
      <w:r>
        <w:rPr>
          <w:rFonts w:ascii="Public Sans" w:hAnsi="Public Sans"/>
          <w:sz w:val="22"/>
        </w:rPr>
        <w:t xml:space="preserve"> there will be a need to use these powers in the near future. </w:t>
      </w:r>
      <w:r w:rsidR="00786AE3">
        <w:rPr>
          <w:rFonts w:ascii="Public Sans" w:hAnsi="Public Sans"/>
          <w:sz w:val="22"/>
        </w:rPr>
        <w:t xml:space="preserve">We note that </w:t>
      </w:r>
      <w:r w:rsidR="001E668F">
        <w:rPr>
          <w:rFonts w:ascii="Public Sans" w:hAnsi="Public Sans"/>
          <w:sz w:val="22"/>
        </w:rPr>
        <w:t>the fact that we have these</w:t>
      </w:r>
      <w:r w:rsidR="00786AE3">
        <w:rPr>
          <w:rFonts w:ascii="Public Sans" w:hAnsi="Public Sans"/>
          <w:sz w:val="22"/>
        </w:rPr>
        <w:t xml:space="preserve"> powers can also be an effective tool to gain the compliance of the subject of allegation through less intrusive means. </w:t>
      </w:r>
      <w:r>
        <w:rPr>
          <w:rFonts w:ascii="Public Sans" w:hAnsi="Public Sans"/>
          <w:sz w:val="22"/>
        </w:rPr>
        <w:t xml:space="preserve"> </w:t>
      </w:r>
    </w:p>
    <w:p w:rsidR="00BB1822" w:rsidRDefault="00BB1822" w:rsidP="00910984">
      <w:pPr>
        <w:pStyle w:val="BodyText"/>
        <w:widowControl w:val="0"/>
        <w:spacing w:before="0" w:after="0" w:line="240" w:lineRule="auto"/>
        <w:rPr>
          <w:rFonts w:ascii="Public Sans" w:hAnsi="Public Sans"/>
          <w:sz w:val="22"/>
        </w:rPr>
      </w:pPr>
    </w:p>
    <w:p w:rsidR="00BB1822" w:rsidRPr="00BB1822" w:rsidRDefault="00BB1822" w:rsidP="008041AB">
      <w:pPr>
        <w:pStyle w:val="Heading2"/>
        <w:keepNext w:val="0"/>
        <w:keepLines w:val="0"/>
        <w:widowControl w:val="0"/>
        <w:spacing w:after="240"/>
        <w:rPr>
          <w:rFonts w:ascii="Public Sans" w:hAnsi="Public Sans"/>
          <w:b/>
          <w:color w:val="auto"/>
        </w:rPr>
      </w:pPr>
      <w:r w:rsidRPr="00BB1822">
        <w:rPr>
          <w:rFonts w:ascii="Public Sans" w:hAnsi="Public Sans"/>
          <w:b/>
          <w:color w:val="auto"/>
        </w:rPr>
        <w:lastRenderedPageBreak/>
        <w:t>Part 4 – Official Community Visitors</w:t>
      </w:r>
    </w:p>
    <w:p w:rsidR="00887D69" w:rsidRPr="00005062" w:rsidRDefault="00005062" w:rsidP="00910984">
      <w:pPr>
        <w:pStyle w:val="Heading4"/>
        <w:keepNext w:val="0"/>
        <w:keepLines w:val="0"/>
        <w:widowControl w:val="0"/>
        <w:spacing w:after="240"/>
        <w:rPr>
          <w:rFonts w:ascii="Public Sans" w:hAnsi="Public Sans"/>
          <w:b/>
          <w:color w:val="auto"/>
        </w:rPr>
      </w:pPr>
      <w:r w:rsidRPr="00005062">
        <w:rPr>
          <w:rFonts w:ascii="Public Sans" w:hAnsi="Public Sans"/>
          <w:b/>
          <w:color w:val="auto"/>
        </w:rPr>
        <w:t>Appointment of Official Community Visitors</w:t>
      </w:r>
      <w:r w:rsidR="000F7607">
        <w:rPr>
          <w:rFonts w:ascii="Public Sans" w:hAnsi="Public Sans"/>
          <w:b/>
          <w:color w:val="auto"/>
        </w:rPr>
        <w:t xml:space="preserve"> (section 21)</w:t>
      </w:r>
    </w:p>
    <w:p w:rsidR="002E49B7" w:rsidRPr="006B076B" w:rsidRDefault="002E49B7" w:rsidP="00910984">
      <w:pPr>
        <w:pStyle w:val="Heading5"/>
        <w:keepNext w:val="0"/>
        <w:keepLines w:val="0"/>
        <w:widowControl w:val="0"/>
        <w:rPr>
          <w:rFonts w:ascii="Public Sans" w:hAnsi="Public Sans"/>
          <w:b/>
          <w:color w:val="auto"/>
          <w:sz w:val="22"/>
        </w:rPr>
      </w:pPr>
      <w:r w:rsidRPr="006B076B">
        <w:rPr>
          <w:rFonts w:ascii="Public Sans" w:hAnsi="Public Sans"/>
          <w:b/>
          <w:color w:val="auto"/>
          <w:sz w:val="22"/>
        </w:rPr>
        <w:t xml:space="preserve">Commitment to </w:t>
      </w:r>
      <w:r w:rsidR="006B076B" w:rsidRPr="006B076B">
        <w:rPr>
          <w:rFonts w:ascii="Public Sans" w:hAnsi="Public Sans"/>
          <w:b/>
          <w:color w:val="auto"/>
          <w:sz w:val="22"/>
        </w:rPr>
        <w:t>relevant objects and principles</w:t>
      </w:r>
      <w:r w:rsidR="00B33B28">
        <w:rPr>
          <w:rFonts w:ascii="Public Sans" w:hAnsi="Public Sans"/>
          <w:b/>
          <w:color w:val="auto"/>
          <w:sz w:val="22"/>
        </w:rPr>
        <w:t xml:space="preserve"> (section 21(1)(b))</w:t>
      </w:r>
    </w:p>
    <w:p w:rsidR="00005062" w:rsidRDefault="00005062" w:rsidP="00910984">
      <w:pPr>
        <w:pStyle w:val="BodyText"/>
        <w:widowControl w:val="0"/>
        <w:spacing w:before="0" w:after="0" w:line="240" w:lineRule="auto"/>
        <w:rPr>
          <w:rFonts w:ascii="Public Sans" w:hAnsi="Public Sans"/>
          <w:sz w:val="22"/>
        </w:rPr>
      </w:pPr>
      <w:r>
        <w:rPr>
          <w:rFonts w:ascii="Public Sans" w:hAnsi="Public Sans"/>
          <w:sz w:val="22"/>
        </w:rPr>
        <w:t xml:space="preserve">In light of the rights-based focus of the OCV scheme and the ADC Act, </w:t>
      </w:r>
      <w:r w:rsidR="00312E4F">
        <w:rPr>
          <w:rFonts w:ascii="Public Sans" w:hAnsi="Public Sans"/>
          <w:sz w:val="22"/>
        </w:rPr>
        <w:t xml:space="preserve">and the fact that the majority of the visitable services provide support to people with disability, </w:t>
      </w:r>
      <w:r>
        <w:rPr>
          <w:rFonts w:ascii="Public Sans" w:hAnsi="Public Sans"/>
          <w:sz w:val="22"/>
        </w:rPr>
        <w:t>there is merit in considering whether one of the requirements to be an OCV should be a commitment to the United Nations Convention on the Rights</w:t>
      </w:r>
      <w:r w:rsidR="00312E4F">
        <w:rPr>
          <w:rFonts w:ascii="Public Sans" w:hAnsi="Public Sans"/>
          <w:sz w:val="22"/>
        </w:rPr>
        <w:t xml:space="preserve"> of Persons with Disabilities</w:t>
      </w:r>
      <w:r w:rsidR="000F5CA7">
        <w:rPr>
          <w:rFonts w:ascii="Public Sans" w:hAnsi="Public Sans"/>
          <w:sz w:val="22"/>
        </w:rPr>
        <w:t xml:space="preserve"> (UNCRPD)</w:t>
      </w:r>
      <w:r w:rsidR="00312E4F">
        <w:rPr>
          <w:rFonts w:ascii="Public Sans" w:hAnsi="Public Sans"/>
          <w:sz w:val="22"/>
        </w:rPr>
        <w:t xml:space="preserve">. </w:t>
      </w:r>
      <w:r w:rsidR="00122D89">
        <w:rPr>
          <w:rFonts w:ascii="Public Sans" w:hAnsi="Public Sans"/>
          <w:sz w:val="22"/>
        </w:rPr>
        <w:t xml:space="preserve">We appreciate that one of the objects of the </w:t>
      </w:r>
      <w:r w:rsidR="00122D89" w:rsidRPr="00122D89">
        <w:rPr>
          <w:rFonts w:ascii="Public Sans" w:hAnsi="Public Sans"/>
          <w:i/>
          <w:sz w:val="22"/>
        </w:rPr>
        <w:t>Disability Inclusion Act 2014</w:t>
      </w:r>
      <w:r w:rsidR="00122D89">
        <w:rPr>
          <w:rFonts w:ascii="Public Sans" w:hAnsi="Public Sans"/>
          <w:sz w:val="22"/>
        </w:rPr>
        <w:t xml:space="preserve"> (listed at section 21(1)(b)(iv)) </w:t>
      </w:r>
      <w:r w:rsidR="000F5CA7">
        <w:rPr>
          <w:rFonts w:ascii="Public Sans" w:hAnsi="Public Sans"/>
          <w:sz w:val="22"/>
        </w:rPr>
        <w:t xml:space="preserve">is support for the purposes and principles of the UNCRPD. However, given the importance of the UNCRPD, there may be benefit in specifically referring to it as part of the criteria for appointment. </w:t>
      </w:r>
    </w:p>
    <w:p w:rsidR="000F5CA7" w:rsidRDefault="000F5CA7" w:rsidP="00910984">
      <w:pPr>
        <w:pStyle w:val="BodyText"/>
        <w:widowControl w:val="0"/>
        <w:spacing w:before="0" w:after="0" w:line="240" w:lineRule="auto"/>
        <w:rPr>
          <w:rFonts w:ascii="Public Sans" w:hAnsi="Public Sans"/>
          <w:sz w:val="22"/>
        </w:rPr>
      </w:pPr>
    </w:p>
    <w:p w:rsidR="006B076B" w:rsidRPr="006B076B" w:rsidRDefault="006B076B" w:rsidP="00910984">
      <w:pPr>
        <w:pStyle w:val="Heading5"/>
        <w:keepNext w:val="0"/>
        <w:keepLines w:val="0"/>
        <w:widowControl w:val="0"/>
        <w:spacing w:before="0"/>
        <w:rPr>
          <w:rFonts w:ascii="Public Sans" w:hAnsi="Public Sans"/>
          <w:b/>
          <w:color w:val="auto"/>
          <w:sz w:val="22"/>
        </w:rPr>
      </w:pPr>
      <w:r w:rsidRPr="006B076B">
        <w:rPr>
          <w:rFonts w:ascii="Public Sans" w:hAnsi="Public Sans"/>
          <w:b/>
          <w:color w:val="auto"/>
          <w:sz w:val="22"/>
        </w:rPr>
        <w:t>Other employment</w:t>
      </w:r>
      <w:r w:rsidR="001342B7">
        <w:rPr>
          <w:rFonts w:ascii="Public Sans" w:hAnsi="Public Sans"/>
          <w:b/>
          <w:color w:val="auto"/>
          <w:sz w:val="22"/>
        </w:rPr>
        <w:t xml:space="preserve"> (section 21(1)(d))</w:t>
      </w:r>
    </w:p>
    <w:p w:rsidR="003303DE" w:rsidRDefault="000F5CA7" w:rsidP="00910984">
      <w:pPr>
        <w:pStyle w:val="BodyText"/>
        <w:widowControl w:val="0"/>
        <w:spacing w:before="0" w:after="0" w:line="240" w:lineRule="auto"/>
        <w:rPr>
          <w:rFonts w:ascii="Public Sans" w:hAnsi="Public Sans"/>
          <w:sz w:val="22"/>
        </w:rPr>
      </w:pPr>
      <w:r>
        <w:rPr>
          <w:rFonts w:ascii="Public Sans" w:hAnsi="Public Sans"/>
          <w:sz w:val="22"/>
        </w:rPr>
        <w:t xml:space="preserve">Section 21(1)(d) of the Act identifies that an OCV cannot be employed </w:t>
      </w:r>
      <w:r w:rsidR="006B076B">
        <w:rPr>
          <w:rFonts w:ascii="Public Sans" w:hAnsi="Public Sans"/>
          <w:sz w:val="22"/>
        </w:rPr>
        <w:t>with</w:t>
      </w:r>
      <w:r>
        <w:rPr>
          <w:rFonts w:ascii="Public Sans" w:hAnsi="Public Sans"/>
          <w:sz w:val="22"/>
        </w:rPr>
        <w:t xml:space="preserve">in DCJ. This </w:t>
      </w:r>
      <w:r w:rsidR="003303DE">
        <w:rPr>
          <w:rFonts w:ascii="Public Sans" w:hAnsi="Public Sans"/>
          <w:sz w:val="22"/>
        </w:rPr>
        <w:t>is to ensure the independence of OCVs and to avoid actual or perceived conflicts of interest, noting that</w:t>
      </w:r>
      <w:r>
        <w:rPr>
          <w:rFonts w:ascii="Public Sans" w:hAnsi="Public Sans"/>
          <w:sz w:val="22"/>
        </w:rPr>
        <w:t xml:space="preserve"> DCJ plays a regulatory role in relation to assisted boarding houses in NSW</w:t>
      </w:r>
      <w:r w:rsidR="003303DE">
        <w:rPr>
          <w:rFonts w:ascii="Public Sans" w:hAnsi="Public Sans"/>
          <w:sz w:val="22"/>
        </w:rPr>
        <w:t xml:space="preserve">. However, the sole focus on DCJ fails to recognise that other agencies have regulatory responsibilities in relation to disability services and the NDIS – namely, the NDIS Quality and Safeguards Commission and the National Disability Insurance Agency. In our view, individuals employed by either agency should also be ineligible to be an OCV. </w:t>
      </w:r>
    </w:p>
    <w:p w:rsidR="003303DE" w:rsidRPr="008041AB" w:rsidRDefault="003303DE" w:rsidP="00910984">
      <w:pPr>
        <w:pStyle w:val="BodyText"/>
        <w:widowControl w:val="0"/>
        <w:spacing w:before="0" w:after="0" w:line="240" w:lineRule="auto"/>
        <w:rPr>
          <w:rFonts w:ascii="Public Sans" w:hAnsi="Public Sans"/>
          <w:sz w:val="22"/>
        </w:rPr>
      </w:pPr>
    </w:p>
    <w:p w:rsidR="00887D69" w:rsidRPr="006B076B" w:rsidRDefault="006B076B" w:rsidP="00910984">
      <w:pPr>
        <w:pStyle w:val="Heading5"/>
        <w:keepNext w:val="0"/>
        <w:keepLines w:val="0"/>
        <w:widowControl w:val="0"/>
        <w:spacing w:before="0"/>
        <w:rPr>
          <w:rFonts w:ascii="Public Sans" w:hAnsi="Public Sans"/>
          <w:b/>
          <w:color w:val="auto"/>
          <w:sz w:val="22"/>
        </w:rPr>
      </w:pPr>
      <w:r w:rsidRPr="006B076B">
        <w:rPr>
          <w:rFonts w:ascii="Public Sans" w:hAnsi="Public Sans"/>
          <w:b/>
          <w:color w:val="auto"/>
          <w:sz w:val="22"/>
        </w:rPr>
        <w:t>Term</w:t>
      </w:r>
      <w:r w:rsidR="008E023F">
        <w:rPr>
          <w:rFonts w:ascii="Public Sans" w:hAnsi="Public Sans"/>
          <w:b/>
          <w:color w:val="auto"/>
          <w:sz w:val="22"/>
        </w:rPr>
        <w:t>s</w:t>
      </w:r>
      <w:r w:rsidRPr="006B076B">
        <w:rPr>
          <w:rFonts w:ascii="Public Sans" w:hAnsi="Public Sans"/>
          <w:b/>
          <w:color w:val="auto"/>
          <w:sz w:val="22"/>
        </w:rPr>
        <w:t xml:space="preserve"> of appointment</w:t>
      </w:r>
      <w:r w:rsidR="000359F4">
        <w:rPr>
          <w:rFonts w:ascii="Public Sans" w:hAnsi="Public Sans"/>
          <w:b/>
          <w:color w:val="auto"/>
          <w:sz w:val="22"/>
        </w:rPr>
        <w:t xml:space="preserve"> (sections 21(2) and (3))</w:t>
      </w:r>
    </w:p>
    <w:p w:rsidR="009F754B" w:rsidRDefault="006B076B" w:rsidP="00910984">
      <w:pPr>
        <w:widowControl w:val="0"/>
        <w:rPr>
          <w:rFonts w:ascii="Public Sans" w:hAnsi="Public Sans"/>
          <w:sz w:val="22"/>
        </w:rPr>
      </w:pPr>
      <w:r>
        <w:rPr>
          <w:rFonts w:ascii="Public Sans" w:hAnsi="Public Sans"/>
          <w:sz w:val="22"/>
        </w:rPr>
        <w:t>The Act provides for OCVs to be appointed for no more than six years (two consecutive three-year terms). The limited term</w:t>
      </w:r>
      <w:r w:rsidR="008E023F">
        <w:rPr>
          <w:rFonts w:ascii="Public Sans" w:hAnsi="Public Sans"/>
          <w:sz w:val="22"/>
        </w:rPr>
        <w:t>s</w:t>
      </w:r>
      <w:r>
        <w:rPr>
          <w:rFonts w:ascii="Public Sans" w:hAnsi="Public Sans"/>
          <w:sz w:val="22"/>
        </w:rPr>
        <w:t xml:space="preserve"> of appointment is important </w:t>
      </w:r>
      <w:r w:rsidR="009F754B">
        <w:rPr>
          <w:rFonts w:ascii="Public Sans" w:hAnsi="Public Sans"/>
          <w:sz w:val="22"/>
        </w:rPr>
        <w:t>– among other things</w:t>
      </w:r>
      <w:r w:rsidR="00C067C6">
        <w:rPr>
          <w:rFonts w:ascii="Public Sans" w:hAnsi="Public Sans"/>
          <w:sz w:val="22"/>
        </w:rPr>
        <w:t xml:space="preserve">, it reduces the likelihood of regulatory capture and/or bias of OCVs; and reduces the likelihood that OCVs will experience burn-out. </w:t>
      </w:r>
    </w:p>
    <w:p w:rsidR="009F754B" w:rsidRDefault="009F754B" w:rsidP="00910984">
      <w:pPr>
        <w:widowControl w:val="0"/>
        <w:rPr>
          <w:rFonts w:ascii="Public Sans" w:hAnsi="Public Sans"/>
          <w:sz w:val="22"/>
        </w:rPr>
      </w:pPr>
    </w:p>
    <w:p w:rsidR="00C067C6" w:rsidRDefault="00684B07" w:rsidP="00910984">
      <w:pPr>
        <w:widowControl w:val="0"/>
        <w:rPr>
          <w:rFonts w:ascii="Public Sans" w:hAnsi="Public Sans"/>
          <w:sz w:val="22"/>
        </w:rPr>
      </w:pPr>
      <w:r>
        <w:rPr>
          <w:rFonts w:ascii="Public Sans" w:hAnsi="Public Sans"/>
          <w:sz w:val="22"/>
        </w:rPr>
        <w:t xml:space="preserve">The above </w:t>
      </w:r>
      <w:r w:rsidR="00C067C6">
        <w:rPr>
          <w:rFonts w:ascii="Public Sans" w:hAnsi="Public Sans"/>
          <w:sz w:val="22"/>
        </w:rPr>
        <w:t>situations</w:t>
      </w:r>
      <w:r>
        <w:rPr>
          <w:rFonts w:ascii="Public Sans" w:hAnsi="Public Sans"/>
          <w:sz w:val="22"/>
        </w:rPr>
        <w:t xml:space="preserve"> are not hypothetical; the OCV scheme has </w:t>
      </w:r>
      <w:r w:rsidR="00C067C6">
        <w:rPr>
          <w:rFonts w:ascii="Public Sans" w:hAnsi="Public Sans"/>
          <w:sz w:val="22"/>
        </w:rPr>
        <w:t>experienced OCVs who have (particularly towards the end of their second term):</w:t>
      </w:r>
    </w:p>
    <w:p w:rsidR="00C067C6" w:rsidRDefault="00C067C6" w:rsidP="000866C5">
      <w:pPr>
        <w:pStyle w:val="ListParagraph0"/>
        <w:widowControl w:val="0"/>
        <w:numPr>
          <w:ilvl w:val="0"/>
          <w:numId w:val="29"/>
        </w:numPr>
        <w:spacing w:before="0" w:after="0" w:line="240" w:lineRule="auto"/>
        <w:ind w:left="777" w:hanging="357"/>
        <w:rPr>
          <w:rFonts w:ascii="Public Sans" w:hAnsi="Public Sans"/>
          <w:sz w:val="22"/>
        </w:rPr>
      </w:pPr>
      <w:r w:rsidRPr="00C067C6">
        <w:rPr>
          <w:rFonts w:ascii="Public Sans" w:hAnsi="Public Sans"/>
          <w:sz w:val="22"/>
        </w:rPr>
        <w:t>become biased in favour of or against providers of their allocated visitable services</w:t>
      </w:r>
      <w:r w:rsidR="002835FF">
        <w:rPr>
          <w:rFonts w:ascii="Public Sans" w:hAnsi="Public Sans"/>
          <w:sz w:val="22"/>
        </w:rPr>
        <w:t xml:space="preserve"> </w:t>
      </w:r>
    </w:p>
    <w:p w:rsidR="00684B07" w:rsidRDefault="002835FF" w:rsidP="000866C5">
      <w:pPr>
        <w:pStyle w:val="ListParagraph0"/>
        <w:widowControl w:val="0"/>
        <w:numPr>
          <w:ilvl w:val="0"/>
          <w:numId w:val="29"/>
        </w:numPr>
        <w:spacing w:before="0" w:after="0" w:line="240" w:lineRule="auto"/>
        <w:ind w:left="777" w:hanging="357"/>
        <w:rPr>
          <w:rFonts w:ascii="Public Sans" w:hAnsi="Public Sans"/>
          <w:sz w:val="22"/>
        </w:rPr>
      </w:pPr>
      <w:r>
        <w:rPr>
          <w:rFonts w:ascii="Public Sans" w:hAnsi="Public Sans"/>
          <w:sz w:val="22"/>
        </w:rPr>
        <w:t>become desensitised to the issues and fail to recognise critical matters that need to be brought to the attention of the ADC and/or relevant regulators</w:t>
      </w:r>
      <w:r w:rsidR="00C067C6" w:rsidRPr="00C067C6">
        <w:rPr>
          <w:rFonts w:ascii="Public Sans" w:hAnsi="Public Sans"/>
          <w:sz w:val="22"/>
        </w:rPr>
        <w:t xml:space="preserve"> </w:t>
      </w:r>
    </w:p>
    <w:p w:rsidR="002835FF" w:rsidRDefault="00162EDD" w:rsidP="000866C5">
      <w:pPr>
        <w:pStyle w:val="ListParagraph0"/>
        <w:widowControl w:val="0"/>
        <w:numPr>
          <w:ilvl w:val="0"/>
          <w:numId w:val="29"/>
        </w:numPr>
        <w:spacing w:before="0" w:after="0" w:line="240" w:lineRule="auto"/>
        <w:ind w:left="777" w:hanging="357"/>
        <w:rPr>
          <w:rFonts w:ascii="Public Sans" w:hAnsi="Public Sans"/>
          <w:sz w:val="22"/>
        </w:rPr>
      </w:pPr>
      <w:r>
        <w:rPr>
          <w:rFonts w:ascii="Public Sans" w:hAnsi="Public Sans"/>
          <w:sz w:val="22"/>
        </w:rPr>
        <w:t>experienced vicarious trauma and become increasingly distressed in their visiting and discussions about the work.</w:t>
      </w:r>
    </w:p>
    <w:p w:rsidR="00162EDD" w:rsidRDefault="00162EDD" w:rsidP="00910984">
      <w:pPr>
        <w:widowControl w:val="0"/>
        <w:rPr>
          <w:rFonts w:ascii="Public Sans" w:hAnsi="Public Sans"/>
          <w:sz w:val="22"/>
        </w:rPr>
      </w:pPr>
    </w:p>
    <w:p w:rsidR="008E099A" w:rsidRDefault="00162EDD" w:rsidP="00910984">
      <w:pPr>
        <w:widowControl w:val="0"/>
        <w:rPr>
          <w:rFonts w:ascii="Public Sans" w:hAnsi="Public Sans"/>
          <w:sz w:val="22"/>
        </w:rPr>
      </w:pPr>
      <w:r>
        <w:rPr>
          <w:rFonts w:ascii="Public Sans" w:hAnsi="Public Sans"/>
          <w:sz w:val="22"/>
        </w:rPr>
        <w:t xml:space="preserve">The ADC has put in place strategies to mitigate the risks of the above, including spot-checks of visit reports, and funded support for </w:t>
      </w:r>
      <w:r w:rsidR="00C71017">
        <w:rPr>
          <w:rFonts w:ascii="Public Sans" w:hAnsi="Public Sans"/>
          <w:sz w:val="22"/>
        </w:rPr>
        <w:t xml:space="preserve">OCVs (including regular clinical supervision for OCVs visiting out-of-home care settings). </w:t>
      </w:r>
      <w:r w:rsidR="008E099A">
        <w:rPr>
          <w:rFonts w:ascii="Public Sans" w:hAnsi="Public Sans"/>
          <w:sz w:val="22"/>
        </w:rPr>
        <w:t>However, the limited term</w:t>
      </w:r>
      <w:r w:rsidR="008E023F">
        <w:rPr>
          <w:rFonts w:ascii="Public Sans" w:hAnsi="Public Sans"/>
          <w:sz w:val="22"/>
        </w:rPr>
        <w:t>s</w:t>
      </w:r>
      <w:r w:rsidR="008E099A">
        <w:rPr>
          <w:rFonts w:ascii="Public Sans" w:hAnsi="Public Sans"/>
          <w:sz w:val="22"/>
        </w:rPr>
        <w:t xml:space="preserve"> of appointment is a</w:t>
      </w:r>
      <w:r w:rsidR="008E023F">
        <w:rPr>
          <w:rFonts w:ascii="Public Sans" w:hAnsi="Public Sans"/>
          <w:sz w:val="22"/>
        </w:rPr>
        <w:t>n essential</w:t>
      </w:r>
      <w:r w:rsidR="008E099A">
        <w:rPr>
          <w:rFonts w:ascii="Public Sans" w:hAnsi="Public Sans"/>
          <w:sz w:val="22"/>
        </w:rPr>
        <w:t xml:space="preserve"> tool for managing the risks to OCVs and the scheme. </w:t>
      </w:r>
    </w:p>
    <w:p w:rsidR="008E099A" w:rsidRDefault="008E099A" w:rsidP="00910984">
      <w:pPr>
        <w:widowControl w:val="0"/>
        <w:rPr>
          <w:rFonts w:ascii="Public Sans" w:hAnsi="Public Sans"/>
          <w:sz w:val="22"/>
        </w:rPr>
      </w:pPr>
    </w:p>
    <w:p w:rsidR="00162EDD" w:rsidRDefault="008E099A" w:rsidP="00910984">
      <w:pPr>
        <w:widowControl w:val="0"/>
        <w:rPr>
          <w:rFonts w:ascii="Public Sans" w:hAnsi="Public Sans"/>
          <w:sz w:val="22"/>
        </w:rPr>
      </w:pPr>
      <w:r>
        <w:rPr>
          <w:rFonts w:ascii="Public Sans" w:hAnsi="Public Sans"/>
          <w:sz w:val="22"/>
        </w:rPr>
        <w:t>It is important to note that the limited term</w:t>
      </w:r>
      <w:r w:rsidR="008E023F">
        <w:rPr>
          <w:rFonts w:ascii="Public Sans" w:hAnsi="Public Sans"/>
          <w:sz w:val="22"/>
        </w:rPr>
        <w:t>s</w:t>
      </w:r>
      <w:r>
        <w:rPr>
          <w:rFonts w:ascii="Public Sans" w:hAnsi="Public Sans"/>
          <w:sz w:val="22"/>
        </w:rPr>
        <w:t xml:space="preserve"> of appointment does not preclude OCVs from returning to the scheme after a break. Our policy is to require an OCV to have at least 12 months out of the sc</w:t>
      </w:r>
      <w:r w:rsidR="008E023F">
        <w:rPr>
          <w:rFonts w:ascii="Public Sans" w:hAnsi="Public Sans"/>
          <w:sz w:val="22"/>
        </w:rPr>
        <w:t>heme before they seek to return. We have had a number of OCVs who have completed two consecutive three-year terms, had a break, and then returned for another six years (and repeated this pattern). The break</w:t>
      </w:r>
      <w:r w:rsidR="009D2FE7">
        <w:rPr>
          <w:rFonts w:ascii="Public Sans" w:hAnsi="Public Sans"/>
          <w:sz w:val="22"/>
        </w:rPr>
        <w:t>s</w:t>
      </w:r>
      <w:r w:rsidR="008E023F">
        <w:rPr>
          <w:rFonts w:ascii="Public Sans" w:hAnsi="Public Sans"/>
          <w:sz w:val="22"/>
        </w:rPr>
        <w:t xml:space="preserve"> from the scheme ha</w:t>
      </w:r>
      <w:r w:rsidR="009D2FE7">
        <w:rPr>
          <w:rFonts w:ascii="Public Sans" w:hAnsi="Public Sans"/>
          <w:sz w:val="22"/>
        </w:rPr>
        <w:t xml:space="preserve">ve </w:t>
      </w:r>
      <w:r w:rsidR="008E023F">
        <w:rPr>
          <w:rFonts w:ascii="Public Sans" w:hAnsi="Public Sans"/>
          <w:sz w:val="22"/>
        </w:rPr>
        <w:t xml:space="preserve">been </w:t>
      </w:r>
      <w:r w:rsidR="009D2FE7">
        <w:rPr>
          <w:rFonts w:ascii="Public Sans" w:hAnsi="Public Sans"/>
          <w:sz w:val="22"/>
        </w:rPr>
        <w:t xml:space="preserve">a </w:t>
      </w:r>
      <w:r w:rsidR="008E023F">
        <w:rPr>
          <w:rFonts w:ascii="Public Sans" w:hAnsi="Public Sans"/>
          <w:sz w:val="22"/>
        </w:rPr>
        <w:t xml:space="preserve">critical </w:t>
      </w:r>
      <w:r w:rsidR="009D2FE7">
        <w:rPr>
          <w:rFonts w:ascii="Public Sans" w:hAnsi="Public Sans"/>
          <w:sz w:val="22"/>
        </w:rPr>
        <w:t xml:space="preserve">factor </w:t>
      </w:r>
      <w:r w:rsidR="008E023F">
        <w:rPr>
          <w:rFonts w:ascii="Public Sans" w:hAnsi="Public Sans"/>
          <w:sz w:val="22"/>
        </w:rPr>
        <w:t xml:space="preserve">in </w:t>
      </w:r>
      <w:r w:rsidR="009D2FE7">
        <w:rPr>
          <w:rFonts w:ascii="Public Sans" w:hAnsi="Public Sans"/>
          <w:sz w:val="22"/>
        </w:rPr>
        <w:t xml:space="preserve">the success of these OCVs. </w:t>
      </w:r>
    </w:p>
    <w:p w:rsidR="00B773A6" w:rsidRDefault="00B773A6" w:rsidP="00910984">
      <w:pPr>
        <w:widowControl w:val="0"/>
        <w:rPr>
          <w:rFonts w:ascii="Public Sans" w:hAnsi="Public Sans"/>
          <w:sz w:val="22"/>
        </w:rPr>
      </w:pPr>
    </w:p>
    <w:p w:rsidR="00B773A6" w:rsidRPr="00162EDD" w:rsidRDefault="00B773A6" w:rsidP="00910984">
      <w:pPr>
        <w:widowControl w:val="0"/>
        <w:rPr>
          <w:rFonts w:ascii="Public Sans" w:hAnsi="Public Sans"/>
          <w:sz w:val="22"/>
        </w:rPr>
      </w:pPr>
      <w:r>
        <w:rPr>
          <w:rFonts w:ascii="Public Sans" w:hAnsi="Public Sans"/>
          <w:sz w:val="22"/>
        </w:rPr>
        <w:t xml:space="preserve">In our experience, </w:t>
      </w:r>
      <w:r w:rsidR="007170C2">
        <w:rPr>
          <w:rFonts w:ascii="Public Sans" w:hAnsi="Public Sans"/>
          <w:sz w:val="22"/>
        </w:rPr>
        <w:t xml:space="preserve">longer or ongoing terms of appointment </w:t>
      </w:r>
      <w:r>
        <w:rPr>
          <w:rFonts w:ascii="Public Sans" w:hAnsi="Public Sans"/>
          <w:sz w:val="22"/>
        </w:rPr>
        <w:t>would not be conducive to effective visiting practice, and would increase the risks to OCVs and the scheme.</w:t>
      </w:r>
    </w:p>
    <w:p w:rsidR="006B076B" w:rsidRDefault="006B076B" w:rsidP="00910984">
      <w:pPr>
        <w:widowControl w:val="0"/>
        <w:rPr>
          <w:rFonts w:ascii="Public Sans" w:hAnsi="Public Sans"/>
          <w:sz w:val="22"/>
        </w:rPr>
      </w:pPr>
    </w:p>
    <w:p w:rsidR="00B15444" w:rsidRDefault="00B15444" w:rsidP="00910984">
      <w:pPr>
        <w:widowControl w:val="0"/>
        <w:rPr>
          <w:rFonts w:ascii="Public Sans" w:hAnsi="Public Sans"/>
          <w:sz w:val="22"/>
        </w:rPr>
      </w:pPr>
    </w:p>
    <w:p w:rsidR="00B15444" w:rsidRPr="006B076B" w:rsidRDefault="00B15444" w:rsidP="00910984">
      <w:pPr>
        <w:widowControl w:val="0"/>
        <w:rPr>
          <w:rFonts w:ascii="Public Sans" w:hAnsi="Public Sans"/>
          <w:sz w:val="22"/>
        </w:rPr>
      </w:pPr>
    </w:p>
    <w:p w:rsidR="00B773A6" w:rsidRPr="00B773A6" w:rsidRDefault="00B773A6" w:rsidP="00910984">
      <w:pPr>
        <w:pStyle w:val="Heading5"/>
        <w:keepNext w:val="0"/>
        <w:keepLines w:val="0"/>
        <w:widowControl w:val="0"/>
        <w:spacing w:before="0"/>
        <w:rPr>
          <w:rFonts w:ascii="Public Sans" w:hAnsi="Public Sans"/>
          <w:b/>
          <w:color w:val="auto"/>
          <w:sz w:val="22"/>
        </w:rPr>
      </w:pPr>
      <w:r>
        <w:rPr>
          <w:rFonts w:ascii="Public Sans" w:hAnsi="Public Sans"/>
          <w:b/>
          <w:color w:val="auto"/>
          <w:sz w:val="22"/>
        </w:rPr>
        <w:lastRenderedPageBreak/>
        <w:t xml:space="preserve">Management </w:t>
      </w:r>
      <w:r w:rsidRPr="00B773A6">
        <w:rPr>
          <w:rFonts w:ascii="Public Sans" w:hAnsi="Public Sans"/>
          <w:b/>
          <w:color w:val="auto"/>
          <w:sz w:val="22"/>
        </w:rPr>
        <w:t xml:space="preserve">and removal of OCVs </w:t>
      </w:r>
      <w:r w:rsidR="000359F4">
        <w:rPr>
          <w:rFonts w:ascii="Public Sans" w:hAnsi="Public Sans"/>
          <w:b/>
          <w:color w:val="auto"/>
          <w:sz w:val="22"/>
        </w:rPr>
        <w:t>(sections 21(5) and (6); section 23)</w:t>
      </w:r>
    </w:p>
    <w:p w:rsidR="00B773A6" w:rsidRPr="00B773A6" w:rsidRDefault="00B773A6" w:rsidP="00910984">
      <w:pPr>
        <w:widowControl w:val="0"/>
        <w:rPr>
          <w:rFonts w:ascii="Public Sans" w:hAnsi="Public Sans"/>
          <w:sz w:val="22"/>
        </w:rPr>
      </w:pPr>
      <w:r w:rsidRPr="00B773A6">
        <w:rPr>
          <w:rFonts w:ascii="Public Sans" w:hAnsi="Public Sans"/>
          <w:sz w:val="22"/>
        </w:rPr>
        <w:t>A key difficulty consistently experienced by the agencies administering the OCV scheme relates to managing the performance of OCVs. The legislation provides for the administering agency to have a</w:t>
      </w:r>
      <w:r>
        <w:rPr>
          <w:rFonts w:ascii="Public Sans" w:hAnsi="Public Sans"/>
          <w:sz w:val="22"/>
        </w:rPr>
        <w:t xml:space="preserve"> ‘general oversight and coordination’ role</w:t>
      </w:r>
      <w:r w:rsidRPr="00B773A6">
        <w:rPr>
          <w:rFonts w:ascii="Public Sans" w:hAnsi="Public Sans"/>
          <w:sz w:val="22"/>
        </w:rPr>
        <w:t xml:space="preserve"> in relation to OCVs, and to recommend their removal from office ‘for incompetence, incapacity or misbehaviour’. However, it has never been clear the extent to which the coordinating agency can manage the performance of OCVs. Historically, the independence of OCVs and their ministerial appointment has meant that the administering agencies have taken a soft approach to addressing quality and performance issues. </w:t>
      </w:r>
    </w:p>
    <w:p w:rsidR="00B773A6" w:rsidRPr="00B773A6" w:rsidRDefault="00B773A6" w:rsidP="00910984">
      <w:pPr>
        <w:widowControl w:val="0"/>
        <w:rPr>
          <w:rFonts w:ascii="Public Sans" w:hAnsi="Public Sans"/>
          <w:sz w:val="22"/>
        </w:rPr>
      </w:pPr>
    </w:p>
    <w:p w:rsidR="00B773A6" w:rsidRDefault="00B773A6" w:rsidP="00910984">
      <w:pPr>
        <w:widowControl w:val="0"/>
        <w:rPr>
          <w:rFonts w:ascii="Public Sans" w:hAnsi="Public Sans"/>
          <w:sz w:val="22"/>
        </w:rPr>
      </w:pPr>
      <w:r w:rsidRPr="00B773A6">
        <w:rPr>
          <w:rFonts w:ascii="Public Sans" w:hAnsi="Public Sans"/>
          <w:sz w:val="22"/>
        </w:rPr>
        <w:t>In the history of the scheme, the administering agencies have acted in relation to potential or alleged misconduct, and it is clear how this feeds into a potential recommendation to remove an OCV from office (</w:t>
      </w:r>
      <w:r>
        <w:rPr>
          <w:rFonts w:ascii="Public Sans" w:hAnsi="Public Sans"/>
          <w:sz w:val="22"/>
        </w:rPr>
        <w:t>in relation to</w:t>
      </w:r>
      <w:r w:rsidRPr="00B773A6">
        <w:rPr>
          <w:rFonts w:ascii="Public Sans" w:hAnsi="Public Sans"/>
          <w:sz w:val="22"/>
        </w:rPr>
        <w:t xml:space="preserve"> ‘misbehaviour’). However, where the issues relate to poor quality visiting practice (such as consistently undertaking very short visits; failing to identify issues; raising only minor issues; or submitting poorly written visit reports), it is not clear</w:t>
      </w:r>
      <w:r>
        <w:rPr>
          <w:rFonts w:ascii="Public Sans" w:hAnsi="Public Sans"/>
          <w:sz w:val="22"/>
        </w:rPr>
        <w:t>:</w:t>
      </w:r>
    </w:p>
    <w:p w:rsidR="00B773A6" w:rsidRPr="00B773A6" w:rsidRDefault="00B773A6" w:rsidP="000866C5">
      <w:pPr>
        <w:pStyle w:val="ListParagraph0"/>
        <w:widowControl w:val="0"/>
        <w:numPr>
          <w:ilvl w:val="1"/>
          <w:numId w:val="30"/>
        </w:numPr>
        <w:spacing w:after="0" w:line="240" w:lineRule="auto"/>
        <w:ind w:left="709" w:hanging="357"/>
        <w:rPr>
          <w:rFonts w:ascii="Public Sans" w:hAnsi="Public Sans"/>
          <w:sz w:val="22"/>
        </w:rPr>
      </w:pPr>
      <w:r w:rsidRPr="00B773A6">
        <w:rPr>
          <w:rFonts w:ascii="Public Sans" w:hAnsi="Public Sans"/>
          <w:sz w:val="22"/>
        </w:rPr>
        <w:t>how directive the administering agency can be; or</w:t>
      </w:r>
    </w:p>
    <w:p w:rsidR="00B773A6" w:rsidRPr="00B773A6" w:rsidRDefault="00B773A6" w:rsidP="000866C5">
      <w:pPr>
        <w:pStyle w:val="ListParagraph0"/>
        <w:widowControl w:val="0"/>
        <w:numPr>
          <w:ilvl w:val="1"/>
          <w:numId w:val="30"/>
        </w:numPr>
        <w:spacing w:before="0" w:after="0" w:line="240" w:lineRule="auto"/>
        <w:ind w:left="709" w:hanging="357"/>
        <w:rPr>
          <w:rFonts w:ascii="Public Sans" w:hAnsi="Public Sans"/>
          <w:sz w:val="22"/>
        </w:rPr>
      </w:pPr>
      <w:r w:rsidRPr="00B773A6">
        <w:rPr>
          <w:rFonts w:ascii="Public Sans" w:hAnsi="Public Sans"/>
          <w:sz w:val="22"/>
        </w:rPr>
        <w:t xml:space="preserve">what is encompassed in the scope of ‘incompetence’ to enable their potential removal. </w:t>
      </w:r>
    </w:p>
    <w:p w:rsidR="00B773A6" w:rsidRPr="00B773A6" w:rsidRDefault="00B773A6" w:rsidP="00910984">
      <w:pPr>
        <w:widowControl w:val="0"/>
        <w:rPr>
          <w:rFonts w:ascii="Public Sans" w:hAnsi="Public Sans"/>
          <w:sz w:val="22"/>
        </w:rPr>
      </w:pPr>
    </w:p>
    <w:p w:rsidR="00B773A6" w:rsidRPr="00B773A6" w:rsidRDefault="00B773A6" w:rsidP="00910984">
      <w:pPr>
        <w:widowControl w:val="0"/>
        <w:rPr>
          <w:rFonts w:ascii="Public Sans" w:hAnsi="Public Sans"/>
          <w:sz w:val="22"/>
        </w:rPr>
      </w:pPr>
      <w:r w:rsidRPr="00B773A6">
        <w:rPr>
          <w:rFonts w:ascii="Public Sans" w:hAnsi="Public Sans"/>
          <w:sz w:val="22"/>
        </w:rPr>
        <w:t xml:space="preserve">From our discussions with the Principal Visitor of the </w:t>
      </w:r>
      <w:r>
        <w:rPr>
          <w:rFonts w:ascii="Public Sans" w:hAnsi="Public Sans"/>
          <w:sz w:val="22"/>
        </w:rPr>
        <w:t xml:space="preserve">NSW </w:t>
      </w:r>
      <w:r w:rsidRPr="00B773A6">
        <w:rPr>
          <w:rFonts w:ascii="Public Sans" w:hAnsi="Public Sans"/>
          <w:sz w:val="22"/>
        </w:rPr>
        <w:t>Mental Health Official Visitor scheme, it is evident that they have a different approach</w:t>
      </w:r>
      <w:r>
        <w:rPr>
          <w:rFonts w:ascii="Public Sans" w:hAnsi="Public Sans"/>
          <w:sz w:val="22"/>
        </w:rPr>
        <w:t>. T</w:t>
      </w:r>
      <w:r w:rsidRPr="00B773A6">
        <w:rPr>
          <w:rFonts w:ascii="Public Sans" w:hAnsi="Public Sans"/>
          <w:sz w:val="22"/>
        </w:rPr>
        <w:t xml:space="preserve">hey are more directive with their Visitors regarding sub-par quality and practice, and </w:t>
      </w:r>
      <w:r w:rsidR="001F01CF">
        <w:rPr>
          <w:rFonts w:ascii="Public Sans" w:hAnsi="Public Sans"/>
          <w:sz w:val="22"/>
        </w:rPr>
        <w:t xml:space="preserve">they </w:t>
      </w:r>
      <w:r w:rsidRPr="00B773A6">
        <w:rPr>
          <w:rFonts w:ascii="Public Sans" w:hAnsi="Public Sans"/>
          <w:sz w:val="22"/>
        </w:rPr>
        <w:t xml:space="preserve">performance manage the OVs. This appears to be supported by their legislation, as Part 3 of the </w:t>
      </w:r>
      <w:r w:rsidRPr="00B773A6">
        <w:rPr>
          <w:rFonts w:ascii="Public Sans" w:hAnsi="Public Sans"/>
          <w:i/>
          <w:iCs/>
          <w:sz w:val="22"/>
        </w:rPr>
        <w:t>Mental Health Act 2007</w:t>
      </w:r>
      <w:r w:rsidRPr="00B773A6">
        <w:rPr>
          <w:rFonts w:ascii="Public Sans" w:hAnsi="Public Sans"/>
          <w:sz w:val="22"/>
        </w:rPr>
        <w:t xml:space="preserve"> provides for the Principal Visitor to have a </w:t>
      </w:r>
      <w:hyperlink r:id="rId16" w:anchor="sec.128" w:history="1">
        <w:r w:rsidRPr="00B773A6">
          <w:rPr>
            <w:rStyle w:val="Hyperlink"/>
            <w:rFonts w:ascii="Public Sans" w:hAnsi="Public Sans"/>
            <w:sz w:val="22"/>
          </w:rPr>
          <w:t>broader range of functions</w:t>
        </w:r>
      </w:hyperlink>
      <w:r w:rsidRPr="00B773A6">
        <w:rPr>
          <w:rFonts w:ascii="Public Sans" w:hAnsi="Public Sans"/>
          <w:sz w:val="22"/>
        </w:rPr>
        <w:t xml:space="preserve"> in relation to the OVs. </w:t>
      </w:r>
    </w:p>
    <w:p w:rsidR="002E49B7" w:rsidRDefault="002E49B7" w:rsidP="00910984">
      <w:pPr>
        <w:widowControl w:val="0"/>
        <w:rPr>
          <w:rFonts w:ascii="Public Sans" w:hAnsi="Public Sans"/>
          <w:sz w:val="22"/>
        </w:rPr>
      </w:pPr>
    </w:p>
    <w:p w:rsidR="00B773A6" w:rsidRDefault="009E28D8" w:rsidP="00910984">
      <w:pPr>
        <w:widowControl w:val="0"/>
        <w:rPr>
          <w:rFonts w:ascii="Public Sans" w:hAnsi="Public Sans"/>
          <w:sz w:val="22"/>
        </w:rPr>
      </w:pPr>
      <w:r>
        <w:rPr>
          <w:rFonts w:ascii="Public Sans" w:hAnsi="Public Sans"/>
          <w:sz w:val="22"/>
        </w:rPr>
        <w:t>T</w:t>
      </w:r>
      <w:r w:rsidR="001F01CF">
        <w:rPr>
          <w:rFonts w:ascii="Public Sans" w:hAnsi="Public Sans"/>
          <w:sz w:val="22"/>
        </w:rPr>
        <w:t xml:space="preserve">he OCV scheme has always been financially lean. To better enable </w:t>
      </w:r>
      <w:r w:rsidR="00486257">
        <w:rPr>
          <w:rFonts w:ascii="Public Sans" w:hAnsi="Public Sans"/>
          <w:sz w:val="22"/>
        </w:rPr>
        <w:t>us</w:t>
      </w:r>
      <w:r w:rsidR="001F01CF">
        <w:rPr>
          <w:rFonts w:ascii="Public Sans" w:hAnsi="Public Sans"/>
          <w:sz w:val="22"/>
        </w:rPr>
        <w:t xml:space="preserve"> to ma</w:t>
      </w:r>
      <w:r w:rsidR="00486257">
        <w:rPr>
          <w:rFonts w:ascii="Public Sans" w:hAnsi="Public Sans"/>
          <w:sz w:val="22"/>
        </w:rPr>
        <w:t xml:space="preserve">ke the best use of scant resources, we believe there is a need for the Act to </w:t>
      </w:r>
      <w:r w:rsidR="00703924">
        <w:rPr>
          <w:rFonts w:ascii="Public Sans" w:hAnsi="Public Sans"/>
          <w:sz w:val="22"/>
        </w:rPr>
        <w:t xml:space="preserve">strengthen the </w:t>
      </w:r>
      <w:r w:rsidR="00486257">
        <w:rPr>
          <w:rFonts w:ascii="Public Sans" w:hAnsi="Public Sans"/>
          <w:sz w:val="22"/>
        </w:rPr>
        <w:t>ADC</w:t>
      </w:r>
      <w:r w:rsidR="00703924">
        <w:rPr>
          <w:rFonts w:ascii="Public Sans" w:hAnsi="Public Sans"/>
          <w:sz w:val="22"/>
        </w:rPr>
        <w:t>’s authority to manage the</w:t>
      </w:r>
      <w:r w:rsidR="001F01CF">
        <w:rPr>
          <w:rFonts w:ascii="Public Sans" w:hAnsi="Public Sans"/>
          <w:sz w:val="22"/>
        </w:rPr>
        <w:t xml:space="preserve"> performance of OCVs</w:t>
      </w:r>
      <w:r w:rsidR="00703924">
        <w:rPr>
          <w:rFonts w:ascii="Public Sans" w:hAnsi="Public Sans"/>
          <w:sz w:val="22"/>
        </w:rPr>
        <w:t xml:space="preserve"> and to clarify the grounds for their removal</w:t>
      </w:r>
      <w:r w:rsidR="00486257">
        <w:rPr>
          <w:rFonts w:ascii="Public Sans" w:hAnsi="Public Sans"/>
          <w:sz w:val="22"/>
        </w:rPr>
        <w:t xml:space="preserve">. </w:t>
      </w:r>
    </w:p>
    <w:p w:rsidR="00B773A6" w:rsidRDefault="00B773A6" w:rsidP="00910984">
      <w:pPr>
        <w:widowControl w:val="0"/>
        <w:rPr>
          <w:rFonts w:ascii="Public Sans" w:hAnsi="Public Sans"/>
          <w:sz w:val="22"/>
        </w:rPr>
      </w:pPr>
    </w:p>
    <w:p w:rsidR="00486257" w:rsidRPr="00486257" w:rsidRDefault="00486257" w:rsidP="0073180D">
      <w:pPr>
        <w:pStyle w:val="Heading4"/>
        <w:keepNext w:val="0"/>
        <w:keepLines w:val="0"/>
        <w:widowControl w:val="0"/>
        <w:spacing w:before="0" w:after="240"/>
        <w:rPr>
          <w:rFonts w:ascii="Public Sans" w:hAnsi="Public Sans"/>
          <w:b/>
          <w:color w:val="auto"/>
        </w:rPr>
      </w:pPr>
      <w:r>
        <w:rPr>
          <w:rFonts w:ascii="Public Sans" w:hAnsi="Public Sans"/>
          <w:b/>
          <w:color w:val="auto"/>
        </w:rPr>
        <w:t>Functions of Official Community Visitors</w:t>
      </w:r>
      <w:r w:rsidR="000F7607">
        <w:rPr>
          <w:rFonts w:ascii="Public Sans" w:hAnsi="Public Sans"/>
          <w:b/>
          <w:color w:val="auto"/>
        </w:rPr>
        <w:t xml:space="preserve"> (section 22)</w:t>
      </w:r>
    </w:p>
    <w:p w:rsidR="00887D69" w:rsidRPr="00703924" w:rsidRDefault="00887D69" w:rsidP="00910984">
      <w:pPr>
        <w:pStyle w:val="Heading5"/>
        <w:keepNext w:val="0"/>
        <w:keepLines w:val="0"/>
        <w:widowControl w:val="0"/>
        <w:rPr>
          <w:rFonts w:ascii="Public Sans" w:hAnsi="Public Sans"/>
          <w:b/>
          <w:color w:val="auto"/>
          <w:sz w:val="22"/>
        </w:rPr>
      </w:pPr>
      <w:r w:rsidRPr="00703924">
        <w:rPr>
          <w:rFonts w:ascii="Public Sans" w:hAnsi="Public Sans"/>
          <w:b/>
          <w:color w:val="auto"/>
          <w:sz w:val="22"/>
        </w:rPr>
        <w:t>Information sharing</w:t>
      </w:r>
      <w:r w:rsidR="00536D2F">
        <w:rPr>
          <w:rFonts w:ascii="Public Sans" w:hAnsi="Public Sans"/>
          <w:b/>
          <w:color w:val="auto"/>
          <w:sz w:val="22"/>
        </w:rPr>
        <w:t xml:space="preserve"> </w:t>
      </w:r>
    </w:p>
    <w:p w:rsidR="00887D69" w:rsidRPr="00703924" w:rsidRDefault="00887D69" w:rsidP="00910984">
      <w:pPr>
        <w:widowControl w:val="0"/>
        <w:spacing w:before="60"/>
        <w:rPr>
          <w:rFonts w:ascii="Public Sans" w:hAnsi="Public Sans"/>
          <w:sz w:val="22"/>
        </w:rPr>
      </w:pPr>
      <w:r w:rsidRPr="00703924">
        <w:rPr>
          <w:rFonts w:ascii="Public Sans" w:hAnsi="Public Sans"/>
          <w:sz w:val="22"/>
        </w:rPr>
        <w:t xml:space="preserve">The NDIS Commission and DCJ are key regulatory agencies for disability services and assisted boarding houses respectively. </w:t>
      </w:r>
      <w:r w:rsidR="00703924">
        <w:rPr>
          <w:rFonts w:ascii="Public Sans" w:hAnsi="Public Sans"/>
          <w:sz w:val="22"/>
        </w:rPr>
        <w:t>Currently</w:t>
      </w:r>
      <w:r w:rsidRPr="00703924">
        <w:rPr>
          <w:rFonts w:ascii="Public Sans" w:hAnsi="Public Sans"/>
          <w:sz w:val="22"/>
        </w:rPr>
        <w:t>, OCVs can refer grievances or concerns affecting persons using visitable services to the NDIS Commission and DCJ as ‘other appropriate bodies’ under section 22(1)(i)</w:t>
      </w:r>
      <w:r w:rsidR="00703924">
        <w:rPr>
          <w:rFonts w:ascii="Public Sans" w:hAnsi="Public Sans"/>
          <w:sz w:val="22"/>
        </w:rPr>
        <w:t xml:space="preserve"> of the Act</w:t>
      </w:r>
      <w:r w:rsidRPr="00703924">
        <w:rPr>
          <w:rFonts w:ascii="Public Sans" w:hAnsi="Public Sans"/>
          <w:sz w:val="22"/>
        </w:rPr>
        <w:t xml:space="preserve">, but cannot provide </w:t>
      </w:r>
      <w:r w:rsidR="00703924">
        <w:rPr>
          <w:rFonts w:ascii="Public Sans" w:hAnsi="Public Sans"/>
          <w:sz w:val="22"/>
        </w:rPr>
        <w:t xml:space="preserve">these agencies with </w:t>
      </w:r>
      <w:r w:rsidRPr="00703924">
        <w:rPr>
          <w:rFonts w:ascii="Public Sans" w:hAnsi="Public Sans"/>
          <w:sz w:val="22"/>
        </w:rPr>
        <w:t xml:space="preserve">broader information </w:t>
      </w:r>
      <w:r w:rsidR="00703924">
        <w:rPr>
          <w:rFonts w:ascii="Public Sans" w:hAnsi="Public Sans"/>
          <w:sz w:val="22"/>
        </w:rPr>
        <w:t xml:space="preserve">that could inform their regulatory activities </w:t>
      </w:r>
      <w:r w:rsidRPr="00703924">
        <w:rPr>
          <w:rFonts w:ascii="Public Sans" w:hAnsi="Public Sans"/>
          <w:sz w:val="22"/>
        </w:rPr>
        <w:t>– such as information about providers of concern</w:t>
      </w:r>
      <w:r w:rsidR="00703924">
        <w:rPr>
          <w:rFonts w:ascii="Public Sans" w:hAnsi="Public Sans"/>
          <w:sz w:val="22"/>
        </w:rPr>
        <w:t>, or</w:t>
      </w:r>
      <w:r w:rsidRPr="00703924">
        <w:rPr>
          <w:rFonts w:ascii="Public Sans" w:hAnsi="Public Sans"/>
          <w:sz w:val="22"/>
        </w:rPr>
        <w:t xml:space="preserve"> trend</w:t>
      </w:r>
      <w:r w:rsidR="00703924">
        <w:rPr>
          <w:rFonts w:ascii="Public Sans" w:hAnsi="Public Sans"/>
          <w:sz w:val="22"/>
        </w:rPr>
        <w:t xml:space="preserve"> and </w:t>
      </w:r>
      <w:r w:rsidRPr="00703924">
        <w:rPr>
          <w:rFonts w:ascii="Public Sans" w:hAnsi="Public Sans"/>
          <w:sz w:val="22"/>
        </w:rPr>
        <w:t xml:space="preserve">pattern information about </w:t>
      </w:r>
      <w:r w:rsidR="00052D41">
        <w:rPr>
          <w:rFonts w:ascii="Public Sans" w:hAnsi="Public Sans"/>
          <w:sz w:val="22"/>
        </w:rPr>
        <w:t>providers and visitable services</w:t>
      </w:r>
      <w:r w:rsidR="00703924">
        <w:rPr>
          <w:rFonts w:ascii="Public Sans" w:hAnsi="Public Sans"/>
          <w:sz w:val="22"/>
        </w:rPr>
        <w:t xml:space="preserve">. </w:t>
      </w:r>
      <w:r w:rsidRPr="00703924">
        <w:rPr>
          <w:rFonts w:ascii="Public Sans" w:hAnsi="Public Sans"/>
          <w:sz w:val="22"/>
        </w:rPr>
        <w:t xml:space="preserve"> </w:t>
      </w:r>
    </w:p>
    <w:p w:rsidR="00703924" w:rsidRPr="00052D41" w:rsidRDefault="00703924" w:rsidP="00910984">
      <w:pPr>
        <w:widowControl w:val="0"/>
        <w:spacing w:before="60"/>
        <w:rPr>
          <w:rFonts w:ascii="Public Sans" w:hAnsi="Public Sans"/>
          <w:sz w:val="22"/>
        </w:rPr>
      </w:pPr>
    </w:p>
    <w:p w:rsidR="00887D69" w:rsidRPr="00052D41" w:rsidRDefault="00052D41" w:rsidP="00910984">
      <w:pPr>
        <w:widowControl w:val="0"/>
        <w:rPr>
          <w:rFonts w:ascii="Public Sans" w:hAnsi="Public Sans"/>
          <w:sz w:val="22"/>
        </w:rPr>
      </w:pPr>
      <w:r w:rsidRPr="00052D41">
        <w:rPr>
          <w:rFonts w:ascii="Public Sans" w:hAnsi="Public Sans"/>
          <w:sz w:val="22"/>
        </w:rPr>
        <w:t xml:space="preserve">In our experience, there is a need to amend sections 22(1)(d) and (e) of the Act to </w:t>
      </w:r>
      <w:r w:rsidR="00887D69" w:rsidRPr="00052D41">
        <w:rPr>
          <w:rFonts w:ascii="Public Sans" w:hAnsi="Public Sans"/>
          <w:sz w:val="22"/>
        </w:rPr>
        <w:t>add the NDIS Commission and the Secretary of DCJ as specific parties OCVs can provide ‘advice or information relating to the conduct of the premises’, and inform ‘on matters affecting the welfare, interests and conditions of persons using visitable services’.</w:t>
      </w:r>
    </w:p>
    <w:p w:rsidR="00887D69" w:rsidRPr="007E4045" w:rsidRDefault="00887D69" w:rsidP="00910984">
      <w:pPr>
        <w:widowControl w:val="0"/>
        <w:rPr>
          <w:rFonts w:ascii="Public Sans" w:hAnsi="Public Sans"/>
        </w:rPr>
      </w:pPr>
    </w:p>
    <w:p w:rsidR="00887D69" w:rsidRPr="00A33240" w:rsidRDefault="00887D69" w:rsidP="00910984">
      <w:pPr>
        <w:pStyle w:val="Heading5"/>
        <w:keepNext w:val="0"/>
        <w:keepLines w:val="0"/>
        <w:widowControl w:val="0"/>
        <w:spacing w:before="0"/>
        <w:rPr>
          <w:rFonts w:ascii="Public Sans" w:hAnsi="Public Sans"/>
          <w:b/>
          <w:color w:val="auto"/>
          <w:sz w:val="22"/>
        </w:rPr>
      </w:pPr>
      <w:r w:rsidRPr="00A33240">
        <w:rPr>
          <w:rFonts w:ascii="Public Sans" w:hAnsi="Public Sans"/>
          <w:b/>
          <w:color w:val="auto"/>
          <w:sz w:val="22"/>
        </w:rPr>
        <w:t>Receiving information about visitable disability services</w:t>
      </w:r>
    </w:p>
    <w:p w:rsidR="00887D69" w:rsidRPr="00A33240" w:rsidRDefault="00887D69" w:rsidP="00910984">
      <w:pPr>
        <w:widowControl w:val="0"/>
        <w:spacing w:before="60"/>
        <w:rPr>
          <w:rFonts w:ascii="Public Sans" w:hAnsi="Public Sans"/>
          <w:sz w:val="22"/>
        </w:rPr>
      </w:pPr>
      <w:r w:rsidRPr="00A33240">
        <w:rPr>
          <w:rFonts w:ascii="Public Sans" w:hAnsi="Public Sans"/>
          <w:sz w:val="22"/>
        </w:rPr>
        <w:t>A large volume of new services have become registered providers of supported</w:t>
      </w:r>
      <w:r w:rsidR="00A33240">
        <w:rPr>
          <w:rFonts w:ascii="Public Sans" w:hAnsi="Public Sans"/>
          <w:sz w:val="22"/>
        </w:rPr>
        <w:t xml:space="preserve"> </w:t>
      </w:r>
      <w:r w:rsidRPr="00A33240">
        <w:rPr>
          <w:rFonts w:ascii="Public Sans" w:hAnsi="Public Sans"/>
          <w:sz w:val="22"/>
        </w:rPr>
        <w:t xml:space="preserve">independent living (SIL) supports under the NDIS. </w:t>
      </w:r>
      <w:r w:rsidR="00A33240">
        <w:rPr>
          <w:rFonts w:ascii="Public Sans" w:hAnsi="Public Sans"/>
          <w:sz w:val="22"/>
        </w:rPr>
        <w:t>Currently</w:t>
      </w:r>
      <w:r w:rsidRPr="00A33240">
        <w:rPr>
          <w:rFonts w:ascii="Public Sans" w:hAnsi="Public Sans"/>
          <w:sz w:val="22"/>
        </w:rPr>
        <w:t>, the OCV scheme does not have a mechanism to obtain regular information about new providers (or new outlets) that may be visitable services. The NDIS Commission knows the service providers but does not have details of their outlets; the NDI</w:t>
      </w:r>
      <w:r w:rsidR="00A33240">
        <w:rPr>
          <w:rFonts w:ascii="Public Sans" w:hAnsi="Public Sans"/>
          <w:sz w:val="22"/>
        </w:rPr>
        <w:t>A</w:t>
      </w:r>
      <w:r w:rsidRPr="00A33240">
        <w:rPr>
          <w:rFonts w:ascii="Public Sans" w:hAnsi="Public Sans"/>
          <w:sz w:val="22"/>
        </w:rPr>
        <w:t xml:space="preserve"> knows the locations of participants but does not necessarily know the providers. </w:t>
      </w:r>
    </w:p>
    <w:p w:rsidR="00A33240" w:rsidRPr="00A33240" w:rsidRDefault="00A33240" w:rsidP="00910984">
      <w:pPr>
        <w:widowControl w:val="0"/>
        <w:spacing w:before="60"/>
        <w:rPr>
          <w:rFonts w:ascii="Public Sans" w:hAnsi="Public Sans"/>
          <w:sz w:val="22"/>
        </w:rPr>
      </w:pPr>
    </w:p>
    <w:p w:rsidR="00887D69" w:rsidRDefault="00887D69" w:rsidP="00910984">
      <w:pPr>
        <w:widowControl w:val="0"/>
        <w:spacing w:before="60"/>
        <w:rPr>
          <w:rFonts w:ascii="Public Sans" w:hAnsi="Public Sans"/>
        </w:rPr>
      </w:pPr>
      <w:r w:rsidRPr="00A33240">
        <w:rPr>
          <w:rFonts w:ascii="Public Sans" w:hAnsi="Public Sans"/>
          <w:sz w:val="22"/>
        </w:rPr>
        <w:t xml:space="preserve">In Queensland, section 49A of the </w:t>
      </w:r>
      <w:r w:rsidRPr="00A33240">
        <w:rPr>
          <w:rFonts w:ascii="Public Sans" w:hAnsi="Public Sans"/>
          <w:i/>
          <w:sz w:val="22"/>
        </w:rPr>
        <w:t>Public Guardian Act 2014 [Qld]</w:t>
      </w:r>
      <w:r w:rsidRPr="00A33240">
        <w:rPr>
          <w:rFonts w:ascii="Public Sans" w:hAnsi="Public Sans"/>
          <w:sz w:val="22"/>
        </w:rPr>
        <w:t xml:space="preserve"> requires relevant registered NDIS providers to give the Public Guardian ‘required information’ (comprising the provider’s name, contact details, and address of each visitable site).</w:t>
      </w:r>
      <w:r w:rsidR="00A33240">
        <w:rPr>
          <w:rFonts w:ascii="Public Sans" w:hAnsi="Public Sans"/>
          <w:sz w:val="22"/>
        </w:rPr>
        <w:t xml:space="preserve"> </w:t>
      </w:r>
      <w:r w:rsidRPr="00A33240">
        <w:rPr>
          <w:rFonts w:ascii="Public Sans" w:hAnsi="Public Sans"/>
          <w:sz w:val="22"/>
        </w:rPr>
        <w:t>There are penalties for non-compliance</w:t>
      </w:r>
      <w:r w:rsidRPr="00A33240">
        <w:rPr>
          <w:rFonts w:ascii="Public Sans" w:hAnsi="Public Sans"/>
        </w:rPr>
        <w:t xml:space="preserve">. </w:t>
      </w:r>
    </w:p>
    <w:p w:rsidR="00A33240" w:rsidRPr="00F4362F" w:rsidRDefault="00A33240" w:rsidP="00910984">
      <w:pPr>
        <w:widowControl w:val="0"/>
        <w:spacing w:before="60"/>
        <w:rPr>
          <w:rFonts w:ascii="Public Sans" w:hAnsi="Public Sans"/>
          <w:sz w:val="22"/>
        </w:rPr>
      </w:pPr>
    </w:p>
    <w:p w:rsidR="00887D69" w:rsidRPr="00F4362F" w:rsidRDefault="00A33240" w:rsidP="00B15444">
      <w:pPr>
        <w:widowControl w:val="0"/>
        <w:rPr>
          <w:rFonts w:ascii="Public Sans" w:hAnsi="Public Sans"/>
          <w:sz w:val="22"/>
        </w:rPr>
      </w:pPr>
      <w:r w:rsidRPr="00F4362F">
        <w:rPr>
          <w:rFonts w:ascii="Public Sans" w:hAnsi="Public Sans"/>
          <w:sz w:val="22"/>
        </w:rPr>
        <w:t xml:space="preserve">In our experience, there is a need to include in the Act a similar provision </w:t>
      </w:r>
      <w:r w:rsidR="00F4362F">
        <w:rPr>
          <w:rFonts w:ascii="Public Sans" w:hAnsi="Public Sans"/>
          <w:sz w:val="22"/>
        </w:rPr>
        <w:t xml:space="preserve">(and penalty) to that in the </w:t>
      </w:r>
      <w:r w:rsidRPr="00F4362F">
        <w:rPr>
          <w:rFonts w:ascii="Public Sans" w:hAnsi="Public Sans"/>
          <w:sz w:val="22"/>
        </w:rPr>
        <w:t>Queensland legislati</w:t>
      </w:r>
      <w:r w:rsidR="00F4362F">
        <w:rPr>
          <w:rFonts w:ascii="Public Sans" w:hAnsi="Public Sans"/>
          <w:sz w:val="22"/>
        </w:rPr>
        <w:t>on</w:t>
      </w:r>
      <w:r w:rsidR="00F4362F" w:rsidRPr="00F4362F">
        <w:rPr>
          <w:rFonts w:ascii="Public Sans" w:hAnsi="Public Sans"/>
          <w:sz w:val="22"/>
        </w:rPr>
        <w:t xml:space="preserve">, to require NDIS providers </w:t>
      </w:r>
      <w:r w:rsidR="00F4362F">
        <w:rPr>
          <w:rFonts w:ascii="Public Sans" w:hAnsi="Public Sans"/>
          <w:sz w:val="22"/>
        </w:rPr>
        <w:t xml:space="preserve">registered to provide SIL supports </w:t>
      </w:r>
      <w:r w:rsidR="00887D69" w:rsidRPr="00F4362F">
        <w:rPr>
          <w:rFonts w:ascii="Public Sans" w:hAnsi="Public Sans"/>
          <w:sz w:val="22"/>
        </w:rPr>
        <w:t xml:space="preserve">to notify the ADC of any new/changes to visitable services they operate. </w:t>
      </w:r>
    </w:p>
    <w:p w:rsidR="00887D69" w:rsidRDefault="00887D69" w:rsidP="00910984">
      <w:pPr>
        <w:pStyle w:val="BodyText"/>
        <w:widowControl w:val="0"/>
        <w:spacing w:before="0" w:after="0" w:line="240" w:lineRule="auto"/>
        <w:rPr>
          <w:rFonts w:ascii="Public Sans" w:hAnsi="Public Sans"/>
          <w:sz w:val="22"/>
        </w:rPr>
      </w:pPr>
    </w:p>
    <w:p w:rsidR="00887D69" w:rsidRPr="00BE19CA" w:rsidRDefault="00BE19CA" w:rsidP="00910984">
      <w:pPr>
        <w:pStyle w:val="Heading5"/>
        <w:keepNext w:val="0"/>
        <w:keepLines w:val="0"/>
        <w:widowControl w:val="0"/>
        <w:spacing w:before="0"/>
        <w:rPr>
          <w:rFonts w:ascii="Public Sans" w:hAnsi="Public Sans"/>
          <w:b/>
          <w:color w:val="auto"/>
          <w:sz w:val="22"/>
        </w:rPr>
      </w:pPr>
      <w:r w:rsidRPr="00BE19CA">
        <w:rPr>
          <w:rFonts w:ascii="Public Sans" w:hAnsi="Public Sans"/>
          <w:b/>
          <w:color w:val="auto"/>
          <w:sz w:val="22"/>
        </w:rPr>
        <w:t>Alignment of Community Visitor Schemes</w:t>
      </w:r>
    </w:p>
    <w:p w:rsidR="00BE19CA" w:rsidRDefault="00A876C9" w:rsidP="00910984">
      <w:pPr>
        <w:pStyle w:val="BodyText"/>
        <w:widowControl w:val="0"/>
        <w:spacing w:before="0" w:after="0" w:line="240" w:lineRule="auto"/>
        <w:rPr>
          <w:rFonts w:ascii="Public Sans" w:hAnsi="Public Sans"/>
          <w:sz w:val="22"/>
        </w:rPr>
      </w:pPr>
      <w:r>
        <w:rPr>
          <w:rFonts w:ascii="Public Sans" w:hAnsi="Public Sans"/>
          <w:sz w:val="22"/>
        </w:rPr>
        <w:t xml:space="preserve">The ADC does not object to the proposal to amend the Act to provide flexibility for the alignment of the NSW OCV scheme with a nationally consistent Community Visitor Scheme </w:t>
      </w:r>
      <w:r w:rsidR="00116415">
        <w:rPr>
          <w:rFonts w:ascii="Public Sans" w:hAnsi="Public Sans"/>
          <w:sz w:val="22"/>
        </w:rPr>
        <w:t xml:space="preserve">for the NDIS </w:t>
      </w:r>
      <w:r>
        <w:rPr>
          <w:rFonts w:ascii="Public Sans" w:hAnsi="Public Sans"/>
          <w:sz w:val="22"/>
        </w:rPr>
        <w:t xml:space="preserve">that may be agreed in the future. However, </w:t>
      </w:r>
      <w:r w:rsidR="00A90D30">
        <w:rPr>
          <w:rFonts w:ascii="Public Sans" w:hAnsi="Public Sans"/>
          <w:sz w:val="22"/>
        </w:rPr>
        <w:t>we note that:</w:t>
      </w:r>
    </w:p>
    <w:p w:rsidR="00231FDF" w:rsidRDefault="00A90D30" w:rsidP="000866C5">
      <w:pPr>
        <w:pStyle w:val="BodyText"/>
        <w:widowControl w:val="0"/>
        <w:numPr>
          <w:ilvl w:val="0"/>
          <w:numId w:val="31"/>
        </w:numPr>
        <w:spacing w:after="0" w:line="240" w:lineRule="auto"/>
        <w:ind w:left="714" w:hanging="357"/>
        <w:rPr>
          <w:rFonts w:ascii="Public Sans" w:hAnsi="Public Sans"/>
          <w:sz w:val="22"/>
        </w:rPr>
      </w:pPr>
      <w:r>
        <w:rPr>
          <w:rFonts w:ascii="Public Sans" w:hAnsi="Public Sans"/>
          <w:sz w:val="22"/>
        </w:rPr>
        <w:t xml:space="preserve">The OCV scheme in the Act is not confined to NDIS funded accommodation. While some assisted boarding houses receive some NDIS funds, this is not the case for all, and not all residents are NDIS participants. The ADC would not support amendments to the Act that would result in </w:t>
      </w:r>
      <w:r w:rsidR="00A24FF8">
        <w:rPr>
          <w:rFonts w:ascii="Public Sans" w:hAnsi="Public Sans"/>
          <w:sz w:val="22"/>
        </w:rPr>
        <w:t>weakened safeguards for people living in assisted boarding houses</w:t>
      </w:r>
      <w:r w:rsidR="00231FDF">
        <w:rPr>
          <w:rFonts w:ascii="Public Sans" w:hAnsi="Public Sans"/>
          <w:sz w:val="22"/>
        </w:rPr>
        <w:t>,</w:t>
      </w:r>
      <w:r w:rsidR="00A24FF8">
        <w:rPr>
          <w:rFonts w:ascii="Public Sans" w:hAnsi="Public Sans"/>
          <w:sz w:val="22"/>
        </w:rPr>
        <w:t xml:space="preserve"> such as no longer being covered by the </w:t>
      </w:r>
      <w:r w:rsidR="00231FDF">
        <w:rPr>
          <w:rFonts w:ascii="Public Sans" w:hAnsi="Public Sans"/>
          <w:sz w:val="22"/>
        </w:rPr>
        <w:t xml:space="preserve">OCV scheme (or equivalent). </w:t>
      </w:r>
    </w:p>
    <w:p w:rsidR="00A90D30" w:rsidRDefault="00701EF8" w:rsidP="000866C5">
      <w:pPr>
        <w:pStyle w:val="BodyText"/>
        <w:widowControl w:val="0"/>
        <w:numPr>
          <w:ilvl w:val="0"/>
          <w:numId w:val="31"/>
        </w:numPr>
        <w:spacing w:after="0" w:line="240" w:lineRule="auto"/>
        <w:ind w:left="714" w:hanging="357"/>
        <w:rPr>
          <w:rFonts w:ascii="Public Sans" w:hAnsi="Public Sans"/>
          <w:sz w:val="22"/>
        </w:rPr>
      </w:pPr>
      <w:r>
        <w:rPr>
          <w:rFonts w:ascii="Public Sans" w:hAnsi="Public Sans"/>
          <w:sz w:val="22"/>
        </w:rPr>
        <w:t>It is not clear why there is a particular focus on volunteer Visitors. In the ADC’s recent review of CV schemes across Australia, we identified that most of the existing schemes are paid schemes</w:t>
      </w:r>
      <w:r w:rsidR="00A24FF8">
        <w:rPr>
          <w:rFonts w:ascii="Public Sans" w:hAnsi="Public Sans"/>
          <w:sz w:val="22"/>
        </w:rPr>
        <w:t xml:space="preserve"> </w:t>
      </w:r>
      <w:r>
        <w:rPr>
          <w:rFonts w:ascii="Public Sans" w:hAnsi="Public Sans"/>
          <w:sz w:val="22"/>
        </w:rPr>
        <w:t xml:space="preserve">(NSW, Queensland, ACT and Northern Territory), and the States operating volunteer schemes (SA and Victoria) have higher operating costs </w:t>
      </w:r>
      <w:r w:rsidR="0014009E">
        <w:rPr>
          <w:rFonts w:ascii="Public Sans" w:hAnsi="Public Sans"/>
          <w:sz w:val="22"/>
        </w:rPr>
        <w:t>than the NSW OCV scheme</w:t>
      </w:r>
      <w:r w:rsidR="009D471E">
        <w:rPr>
          <w:rFonts w:ascii="Public Sans" w:hAnsi="Public Sans"/>
          <w:sz w:val="22"/>
        </w:rPr>
        <w:t>,</w:t>
      </w:r>
      <w:r w:rsidR="0014009E">
        <w:rPr>
          <w:rFonts w:ascii="Public Sans" w:hAnsi="Public Sans"/>
          <w:sz w:val="22"/>
        </w:rPr>
        <w:t xml:space="preserve"> </w:t>
      </w:r>
      <w:r>
        <w:rPr>
          <w:rFonts w:ascii="Public Sans" w:hAnsi="Public Sans"/>
          <w:sz w:val="22"/>
        </w:rPr>
        <w:t xml:space="preserve">associated with the larger number of paid personnel required to manage the scheme and support the volunteer Visitors. </w:t>
      </w:r>
      <w:r w:rsidR="0014009E">
        <w:rPr>
          <w:rFonts w:ascii="Public Sans" w:hAnsi="Public Sans"/>
          <w:sz w:val="22"/>
        </w:rPr>
        <w:t xml:space="preserve">All of the CV schemes pay their Visitors in some way, including </w:t>
      </w:r>
      <w:r w:rsidR="00AE6DC6">
        <w:rPr>
          <w:rFonts w:ascii="Public Sans" w:hAnsi="Public Sans"/>
          <w:sz w:val="22"/>
        </w:rPr>
        <w:t xml:space="preserve">the volunteer schemes, which pay at least </w:t>
      </w:r>
      <w:r w:rsidR="0014009E">
        <w:rPr>
          <w:rFonts w:ascii="Public Sans" w:hAnsi="Public Sans"/>
          <w:sz w:val="22"/>
        </w:rPr>
        <w:t>an annual honorarium</w:t>
      </w:r>
      <w:r w:rsidR="00AE6DC6">
        <w:rPr>
          <w:rFonts w:ascii="Public Sans" w:hAnsi="Public Sans"/>
          <w:sz w:val="22"/>
        </w:rPr>
        <w:t xml:space="preserve">.  </w:t>
      </w:r>
      <w:r w:rsidR="0014009E">
        <w:rPr>
          <w:rFonts w:ascii="Public Sans" w:hAnsi="Public Sans"/>
          <w:sz w:val="22"/>
        </w:rPr>
        <w:t xml:space="preserve"> </w:t>
      </w:r>
    </w:p>
    <w:p w:rsidR="00BE19CA" w:rsidRDefault="00BE19CA" w:rsidP="00910984">
      <w:pPr>
        <w:pStyle w:val="BodyText"/>
        <w:widowControl w:val="0"/>
        <w:spacing w:before="0" w:after="0" w:line="240" w:lineRule="auto"/>
        <w:rPr>
          <w:rFonts w:ascii="Public Sans" w:hAnsi="Public Sans"/>
          <w:sz w:val="22"/>
        </w:rPr>
      </w:pPr>
    </w:p>
    <w:p w:rsidR="009D471E" w:rsidRPr="00BB1822" w:rsidRDefault="009D471E" w:rsidP="00910984">
      <w:pPr>
        <w:pStyle w:val="Heading2"/>
        <w:keepNext w:val="0"/>
        <w:keepLines w:val="0"/>
        <w:widowControl w:val="0"/>
        <w:spacing w:before="0" w:after="240"/>
        <w:rPr>
          <w:rFonts w:ascii="Public Sans" w:hAnsi="Public Sans"/>
          <w:b/>
          <w:color w:val="auto"/>
        </w:rPr>
      </w:pPr>
      <w:r w:rsidRPr="00BB1822">
        <w:rPr>
          <w:rFonts w:ascii="Public Sans" w:hAnsi="Public Sans"/>
          <w:b/>
          <w:color w:val="auto"/>
        </w:rPr>
        <w:t xml:space="preserve">Part </w:t>
      </w:r>
      <w:r>
        <w:rPr>
          <w:rFonts w:ascii="Public Sans" w:hAnsi="Public Sans"/>
          <w:b/>
          <w:color w:val="auto"/>
        </w:rPr>
        <w:t>5</w:t>
      </w:r>
      <w:r w:rsidRPr="00BB1822">
        <w:rPr>
          <w:rFonts w:ascii="Public Sans" w:hAnsi="Public Sans"/>
          <w:b/>
          <w:color w:val="auto"/>
        </w:rPr>
        <w:t xml:space="preserve"> – </w:t>
      </w:r>
      <w:r>
        <w:rPr>
          <w:rFonts w:ascii="Public Sans" w:hAnsi="Public Sans"/>
          <w:b/>
          <w:color w:val="auto"/>
        </w:rPr>
        <w:t>Annual reports and special reports</w:t>
      </w:r>
    </w:p>
    <w:p w:rsidR="00C1454F" w:rsidRPr="00C1454F" w:rsidRDefault="00C1454F" w:rsidP="00910984">
      <w:pPr>
        <w:pStyle w:val="Heading5"/>
        <w:keepNext w:val="0"/>
        <w:keepLines w:val="0"/>
        <w:widowControl w:val="0"/>
        <w:rPr>
          <w:rFonts w:ascii="Public Sans" w:hAnsi="Public Sans"/>
          <w:b/>
          <w:color w:val="auto"/>
          <w:sz w:val="22"/>
        </w:rPr>
      </w:pPr>
      <w:r w:rsidRPr="00C1454F">
        <w:rPr>
          <w:rFonts w:ascii="Public Sans" w:hAnsi="Public Sans"/>
          <w:b/>
          <w:color w:val="auto"/>
          <w:sz w:val="22"/>
        </w:rPr>
        <w:t>Reporting on referrals</w:t>
      </w:r>
      <w:r w:rsidR="000F7607">
        <w:rPr>
          <w:rFonts w:ascii="Public Sans" w:hAnsi="Public Sans"/>
          <w:b/>
          <w:color w:val="auto"/>
          <w:sz w:val="22"/>
        </w:rPr>
        <w:t xml:space="preserve"> (section 25)</w:t>
      </w:r>
    </w:p>
    <w:p w:rsidR="00C1454F" w:rsidRPr="00D435A1" w:rsidRDefault="00D435A1" w:rsidP="00910984">
      <w:pPr>
        <w:widowControl w:val="0"/>
        <w:rPr>
          <w:rFonts w:ascii="Public Sans" w:hAnsi="Public Sans"/>
          <w:sz w:val="22"/>
        </w:rPr>
      </w:pPr>
      <w:r>
        <w:rPr>
          <w:rFonts w:ascii="Public Sans" w:hAnsi="Public Sans"/>
          <w:sz w:val="22"/>
        </w:rPr>
        <w:t>Section 25(3) of t</w:t>
      </w:r>
      <w:r w:rsidR="00C1454F" w:rsidRPr="00D435A1">
        <w:rPr>
          <w:rFonts w:ascii="Public Sans" w:hAnsi="Public Sans"/>
          <w:sz w:val="22"/>
        </w:rPr>
        <w:t>he Act requires the ADC to report on the outcome of our referrals</w:t>
      </w:r>
      <w:r>
        <w:rPr>
          <w:rFonts w:ascii="Public Sans" w:hAnsi="Public Sans"/>
          <w:sz w:val="22"/>
        </w:rPr>
        <w:t xml:space="preserve"> </w:t>
      </w:r>
      <w:r w:rsidR="00C1454F" w:rsidRPr="00D435A1">
        <w:rPr>
          <w:rFonts w:ascii="Public Sans" w:hAnsi="Public Sans"/>
          <w:sz w:val="22"/>
        </w:rPr>
        <w:t xml:space="preserve">– this includes our mandatory referrals and all other referrals. While this may be designed to provide some transparency as to the agencies/parties </w:t>
      </w:r>
      <w:r w:rsidR="009C0F63">
        <w:rPr>
          <w:rFonts w:ascii="Public Sans" w:hAnsi="Public Sans"/>
          <w:sz w:val="22"/>
        </w:rPr>
        <w:t>the ADC is</w:t>
      </w:r>
      <w:r w:rsidR="00C1454F" w:rsidRPr="00D435A1">
        <w:rPr>
          <w:rFonts w:ascii="Public Sans" w:hAnsi="Public Sans"/>
          <w:sz w:val="22"/>
        </w:rPr>
        <w:t xml:space="preserve"> making referrals to, and the effectiveness of those referrals/agencies, this is not achieved in practice. </w:t>
      </w:r>
    </w:p>
    <w:p w:rsidR="00D435A1" w:rsidRDefault="00D435A1" w:rsidP="00910984">
      <w:pPr>
        <w:widowControl w:val="0"/>
        <w:rPr>
          <w:rFonts w:ascii="Public Sans" w:hAnsi="Public Sans"/>
          <w:sz w:val="22"/>
        </w:rPr>
      </w:pPr>
    </w:p>
    <w:p w:rsidR="00C1454F" w:rsidRDefault="00C1454F" w:rsidP="00910984">
      <w:pPr>
        <w:widowControl w:val="0"/>
        <w:rPr>
          <w:rFonts w:ascii="Public Sans" w:hAnsi="Public Sans"/>
          <w:sz w:val="22"/>
        </w:rPr>
      </w:pPr>
      <w:r w:rsidRPr="00D435A1">
        <w:rPr>
          <w:rFonts w:ascii="Public Sans" w:hAnsi="Public Sans"/>
          <w:sz w:val="22"/>
        </w:rPr>
        <w:t xml:space="preserve">Reporting on the outcome of referrals has required the ADC to implement individual arrangements with the mandatory referral agencies to obtain this information on a regular basis. It is a significant amount of additional work for the ADC and those agencies on an ongoing basis, for no </w:t>
      </w:r>
      <w:r w:rsidR="009C0F63">
        <w:rPr>
          <w:rFonts w:ascii="Public Sans" w:hAnsi="Public Sans"/>
          <w:sz w:val="22"/>
        </w:rPr>
        <w:t>readily identifiabl</w:t>
      </w:r>
      <w:r w:rsidRPr="00D435A1">
        <w:rPr>
          <w:rFonts w:ascii="Public Sans" w:hAnsi="Public Sans"/>
          <w:sz w:val="22"/>
        </w:rPr>
        <w:t xml:space="preserve">e benefit.  </w:t>
      </w:r>
    </w:p>
    <w:p w:rsidR="009C0F63" w:rsidRDefault="009C0F63" w:rsidP="00910984">
      <w:pPr>
        <w:widowControl w:val="0"/>
        <w:rPr>
          <w:rFonts w:ascii="Public Sans" w:hAnsi="Public Sans"/>
          <w:sz w:val="22"/>
        </w:rPr>
      </w:pPr>
    </w:p>
    <w:p w:rsidR="009C0F63" w:rsidRPr="00D435A1" w:rsidRDefault="009C0F63" w:rsidP="00910984">
      <w:pPr>
        <w:widowControl w:val="0"/>
        <w:rPr>
          <w:rFonts w:ascii="Public Sans" w:hAnsi="Public Sans"/>
        </w:rPr>
      </w:pPr>
      <w:r w:rsidRPr="00D435A1">
        <w:rPr>
          <w:rFonts w:ascii="Public Sans" w:hAnsi="Public Sans"/>
          <w:sz w:val="22"/>
        </w:rPr>
        <w:t xml:space="preserve">In practice, </w:t>
      </w:r>
      <w:r>
        <w:rPr>
          <w:rFonts w:ascii="Public Sans" w:hAnsi="Public Sans"/>
          <w:sz w:val="22"/>
        </w:rPr>
        <w:t xml:space="preserve">the ADC </w:t>
      </w:r>
      <w:r w:rsidRPr="00D435A1">
        <w:rPr>
          <w:rFonts w:ascii="Public Sans" w:hAnsi="Public Sans"/>
          <w:sz w:val="22"/>
        </w:rPr>
        <w:t>track</w:t>
      </w:r>
      <w:r>
        <w:rPr>
          <w:rFonts w:ascii="Public Sans" w:hAnsi="Public Sans"/>
          <w:sz w:val="22"/>
        </w:rPr>
        <w:t>s</w:t>
      </w:r>
      <w:r w:rsidRPr="00D435A1">
        <w:rPr>
          <w:rFonts w:ascii="Public Sans" w:hAnsi="Public Sans"/>
          <w:sz w:val="22"/>
        </w:rPr>
        <w:t xml:space="preserve"> the outcomes </w:t>
      </w:r>
      <w:r>
        <w:rPr>
          <w:rFonts w:ascii="Public Sans" w:hAnsi="Public Sans"/>
          <w:sz w:val="22"/>
        </w:rPr>
        <w:t xml:space="preserve">of referrals </w:t>
      </w:r>
      <w:r w:rsidRPr="00D435A1">
        <w:rPr>
          <w:rFonts w:ascii="Public Sans" w:hAnsi="Public Sans"/>
          <w:sz w:val="22"/>
        </w:rPr>
        <w:t>in relevant matters</w:t>
      </w:r>
      <w:r>
        <w:rPr>
          <w:rFonts w:ascii="Public Sans" w:hAnsi="Public Sans"/>
          <w:sz w:val="22"/>
        </w:rPr>
        <w:t xml:space="preserve"> and </w:t>
      </w:r>
      <w:r w:rsidRPr="00D435A1">
        <w:rPr>
          <w:rFonts w:ascii="Public Sans" w:hAnsi="Public Sans"/>
          <w:sz w:val="22"/>
        </w:rPr>
        <w:t xml:space="preserve">with </w:t>
      </w:r>
      <w:r w:rsidRPr="00B71554">
        <w:rPr>
          <w:rFonts w:ascii="Public Sans" w:hAnsi="Public Sans"/>
          <w:sz w:val="22"/>
        </w:rPr>
        <w:t xml:space="preserve">particular agencies because it is necessary for our handling of the report and our work – </w:t>
      </w:r>
      <w:r>
        <w:rPr>
          <w:rFonts w:ascii="Public Sans" w:hAnsi="Public Sans"/>
          <w:sz w:val="22"/>
        </w:rPr>
        <w:t xml:space="preserve">such as </w:t>
      </w:r>
      <w:r w:rsidRPr="00D435A1">
        <w:rPr>
          <w:rFonts w:ascii="Public Sans" w:hAnsi="Public Sans"/>
          <w:sz w:val="22"/>
        </w:rPr>
        <w:t xml:space="preserve">referrals to </w:t>
      </w:r>
      <w:r>
        <w:rPr>
          <w:rFonts w:ascii="Public Sans" w:hAnsi="Public Sans"/>
          <w:sz w:val="22"/>
        </w:rPr>
        <w:t>NSW Police</w:t>
      </w:r>
      <w:r w:rsidRPr="00D435A1">
        <w:rPr>
          <w:rFonts w:ascii="Public Sans" w:hAnsi="Public Sans"/>
          <w:sz w:val="22"/>
        </w:rPr>
        <w:t xml:space="preserve">. </w:t>
      </w:r>
    </w:p>
    <w:p w:rsidR="00D435A1" w:rsidRDefault="00D435A1" w:rsidP="00910984">
      <w:pPr>
        <w:widowControl w:val="0"/>
        <w:rPr>
          <w:rFonts w:ascii="Public Sans" w:hAnsi="Public Sans"/>
          <w:sz w:val="22"/>
        </w:rPr>
      </w:pPr>
    </w:p>
    <w:p w:rsidR="00C1454F" w:rsidRDefault="0007665C" w:rsidP="00910984">
      <w:pPr>
        <w:pStyle w:val="BodyText"/>
        <w:widowControl w:val="0"/>
        <w:spacing w:before="0" w:after="0" w:line="240" w:lineRule="auto"/>
        <w:rPr>
          <w:rFonts w:ascii="Public Sans" w:hAnsi="Public Sans"/>
          <w:sz w:val="22"/>
        </w:rPr>
      </w:pPr>
      <w:r>
        <w:rPr>
          <w:rFonts w:ascii="Public Sans" w:hAnsi="Public Sans"/>
          <w:sz w:val="22"/>
        </w:rPr>
        <w:t xml:space="preserve">In the ADC’s view, section 25(3) of the Act should be amended to remove the requirement to report each year on the outcome of each referral made under </w:t>
      </w:r>
      <w:r w:rsidR="009D28E3">
        <w:rPr>
          <w:rFonts w:ascii="Public Sans" w:hAnsi="Public Sans"/>
          <w:sz w:val="22"/>
        </w:rPr>
        <w:t xml:space="preserve">section 13. </w:t>
      </w:r>
    </w:p>
    <w:p w:rsidR="00C1454F" w:rsidRDefault="00C1454F" w:rsidP="00910984">
      <w:pPr>
        <w:pStyle w:val="BodyText"/>
        <w:widowControl w:val="0"/>
        <w:spacing w:before="0" w:after="0" w:line="240" w:lineRule="auto"/>
        <w:rPr>
          <w:rFonts w:ascii="Public Sans" w:hAnsi="Public Sans"/>
          <w:sz w:val="22"/>
        </w:rPr>
      </w:pPr>
    </w:p>
    <w:p w:rsidR="009D28E3" w:rsidRPr="00C1454F" w:rsidRDefault="009D28E3" w:rsidP="00536D2F">
      <w:pPr>
        <w:pStyle w:val="Heading5"/>
        <w:keepNext w:val="0"/>
        <w:keepLines w:val="0"/>
        <w:widowControl w:val="0"/>
        <w:spacing w:before="0"/>
        <w:rPr>
          <w:rFonts w:ascii="Public Sans" w:hAnsi="Public Sans"/>
          <w:b/>
          <w:color w:val="auto"/>
          <w:sz w:val="22"/>
        </w:rPr>
      </w:pPr>
      <w:r>
        <w:rPr>
          <w:rFonts w:ascii="Public Sans" w:hAnsi="Public Sans"/>
          <w:b/>
          <w:color w:val="auto"/>
          <w:sz w:val="22"/>
        </w:rPr>
        <w:t>Report about disability advocacy</w:t>
      </w:r>
      <w:r w:rsidR="000F7607">
        <w:rPr>
          <w:rFonts w:ascii="Public Sans" w:hAnsi="Public Sans"/>
          <w:b/>
          <w:color w:val="auto"/>
          <w:sz w:val="22"/>
        </w:rPr>
        <w:t xml:space="preserve"> (section 26)</w:t>
      </w:r>
    </w:p>
    <w:p w:rsidR="00BE19CA" w:rsidRDefault="009D28E3" w:rsidP="00910984">
      <w:pPr>
        <w:pStyle w:val="BodyText"/>
        <w:widowControl w:val="0"/>
        <w:spacing w:before="0" w:after="0" w:line="240" w:lineRule="auto"/>
        <w:rPr>
          <w:rFonts w:ascii="Public Sans" w:hAnsi="Public Sans"/>
          <w:sz w:val="22"/>
        </w:rPr>
      </w:pPr>
      <w:r>
        <w:rPr>
          <w:rFonts w:ascii="Public Sans" w:hAnsi="Public Sans"/>
          <w:sz w:val="22"/>
        </w:rPr>
        <w:t xml:space="preserve">Section 26 of the Act pertains to a requirement on the ADC to prepare and provide a report on the funding arrangements for disability advocacy services in NSW by 31 December 2019. The ADC fulfilled this requirement in 2019. This section could now be repealed. </w:t>
      </w:r>
    </w:p>
    <w:p w:rsidR="00D31571" w:rsidRDefault="00D31571" w:rsidP="00B71554">
      <w:pPr>
        <w:pStyle w:val="Heading2"/>
        <w:keepNext w:val="0"/>
        <w:keepLines w:val="0"/>
        <w:widowControl w:val="0"/>
        <w:spacing w:before="0" w:after="240"/>
        <w:rPr>
          <w:rFonts w:ascii="Public Sans" w:hAnsi="Public Sans"/>
          <w:b/>
          <w:color w:val="auto"/>
        </w:rPr>
      </w:pPr>
      <w:r w:rsidRPr="00BB1822">
        <w:rPr>
          <w:rFonts w:ascii="Public Sans" w:hAnsi="Public Sans"/>
          <w:b/>
          <w:color w:val="auto"/>
        </w:rPr>
        <w:lastRenderedPageBreak/>
        <w:t xml:space="preserve">Part </w:t>
      </w:r>
      <w:r>
        <w:rPr>
          <w:rFonts w:ascii="Public Sans" w:hAnsi="Public Sans"/>
          <w:b/>
          <w:color w:val="auto"/>
        </w:rPr>
        <w:t>6</w:t>
      </w:r>
      <w:r w:rsidRPr="00BB1822">
        <w:rPr>
          <w:rFonts w:ascii="Public Sans" w:hAnsi="Public Sans"/>
          <w:b/>
          <w:color w:val="auto"/>
        </w:rPr>
        <w:t xml:space="preserve"> – </w:t>
      </w:r>
      <w:r>
        <w:rPr>
          <w:rFonts w:ascii="Public Sans" w:hAnsi="Public Sans"/>
          <w:b/>
          <w:color w:val="auto"/>
        </w:rPr>
        <w:t>Miscellaneous</w:t>
      </w:r>
    </w:p>
    <w:p w:rsidR="00B71554" w:rsidRDefault="00B71554" w:rsidP="00B71554">
      <w:pPr>
        <w:pStyle w:val="Heading4"/>
        <w:rPr>
          <w:rFonts w:ascii="Public Sans" w:hAnsi="Public Sans"/>
          <w:b/>
          <w:color w:val="auto"/>
        </w:rPr>
      </w:pPr>
      <w:r>
        <w:rPr>
          <w:rFonts w:ascii="Public Sans" w:hAnsi="Public Sans"/>
          <w:b/>
          <w:color w:val="auto"/>
        </w:rPr>
        <w:t>Ageing and Disability Advisory Board</w:t>
      </w:r>
      <w:r w:rsidR="000F7607">
        <w:rPr>
          <w:rFonts w:ascii="Public Sans" w:hAnsi="Public Sans"/>
          <w:b/>
          <w:color w:val="auto"/>
        </w:rPr>
        <w:t xml:space="preserve"> (section 29)</w:t>
      </w:r>
    </w:p>
    <w:p w:rsidR="00B71554" w:rsidRDefault="00597AE7" w:rsidP="00B71554">
      <w:pPr>
        <w:pStyle w:val="BodyText"/>
        <w:spacing w:before="0" w:after="0" w:line="240" w:lineRule="auto"/>
        <w:rPr>
          <w:rFonts w:ascii="Public Sans" w:hAnsi="Public Sans"/>
          <w:sz w:val="22"/>
        </w:rPr>
      </w:pPr>
      <w:r>
        <w:rPr>
          <w:rFonts w:ascii="Public Sans" w:hAnsi="Public Sans"/>
          <w:sz w:val="22"/>
        </w:rPr>
        <w:t>Section 29(9) of the Act enables the Commissioner to remove an appointed member from the Board at any time ‘and must provide a report on the removal to the Presiding Officer of each House of Parliament.’ Section 25(4)(d) requires the ADC’s annual report to include ‘if a Board member has been removed under section 29(9) during the reporting period, the reasons for removing the member.’</w:t>
      </w:r>
      <w:r w:rsidR="00DB30F8">
        <w:rPr>
          <w:rFonts w:ascii="Public Sans" w:hAnsi="Public Sans"/>
          <w:sz w:val="22"/>
        </w:rPr>
        <w:t xml:space="preserve"> </w:t>
      </w:r>
    </w:p>
    <w:p w:rsidR="00597AE7" w:rsidRDefault="00597AE7" w:rsidP="00B71554">
      <w:pPr>
        <w:pStyle w:val="BodyText"/>
        <w:spacing w:before="0" w:after="0" w:line="240" w:lineRule="auto"/>
        <w:rPr>
          <w:rFonts w:ascii="Public Sans" w:hAnsi="Public Sans"/>
          <w:sz w:val="22"/>
        </w:rPr>
      </w:pPr>
    </w:p>
    <w:p w:rsidR="00597AE7" w:rsidRPr="00B71554" w:rsidRDefault="00BE2125" w:rsidP="00B71554">
      <w:pPr>
        <w:pStyle w:val="BodyText"/>
        <w:spacing w:before="0" w:after="0" w:line="240" w:lineRule="auto"/>
        <w:rPr>
          <w:rFonts w:ascii="Public Sans" w:hAnsi="Public Sans"/>
          <w:sz w:val="22"/>
        </w:rPr>
      </w:pPr>
      <w:r>
        <w:rPr>
          <w:rFonts w:ascii="Public Sans" w:hAnsi="Public Sans"/>
          <w:sz w:val="22"/>
        </w:rPr>
        <w:t xml:space="preserve">It is not clear whether the requirement for the Commissioner to provide a report on the removal of a Board member to the Presiding Officer of each House of Parliament is just referring to the annual reporting requirement, or necessitates a separate report. It </w:t>
      </w:r>
      <w:r w:rsidR="001C4FF7">
        <w:rPr>
          <w:rFonts w:ascii="Public Sans" w:hAnsi="Public Sans"/>
          <w:sz w:val="22"/>
        </w:rPr>
        <w:t xml:space="preserve">would be </w:t>
      </w:r>
      <w:r>
        <w:rPr>
          <w:rFonts w:ascii="Public Sans" w:hAnsi="Public Sans"/>
          <w:sz w:val="22"/>
        </w:rPr>
        <w:t xml:space="preserve">helpful to amend section 29(9) to </w:t>
      </w:r>
      <w:r w:rsidR="003F2ABC">
        <w:rPr>
          <w:rFonts w:ascii="Public Sans" w:hAnsi="Public Sans"/>
          <w:sz w:val="22"/>
        </w:rPr>
        <w:t>clarify th</w:t>
      </w:r>
      <w:r w:rsidR="001C4FF7">
        <w:rPr>
          <w:rFonts w:ascii="Public Sans" w:hAnsi="Public Sans"/>
          <w:sz w:val="22"/>
        </w:rPr>
        <w:t>at the reporting requirement is via the annual report</w:t>
      </w:r>
      <w:r w:rsidR="003F2ABC">
        <w:rPr>
          <w:rFonts w:ascii="Public Sans" w:hAnsi="Public Sans"/>
          <w:sz w:val="22"/>
        </w:rPr>
        <w:t xml:space="preserve">. </w:t>
      </w:r>
    </w:p>
    <w:p w:rsidR="00B71554" w:rsidRPr="00B71554" w:rsidRDefault="00B71554" w:rsidP="00B71554">
      <w:pPr>
        <w:pStyle w:val="BodyText"/>
        <w:spacing w:before="0" w:after="0" w:line="240" w:lineRule="auto"/>
        <w:rPr>
          <w:rFonts w:ascii="Public Sans" w:hAnsi="Public Sans"/>
          <w:sz w:val="22"/>
        </w:rPr>
      </w:pPr>
    </w:p>
    <w:p w:rsidR="009D28E3" w:rsidRPr="00B9025A" w:rsidRDefault="002C6830" w:rsidP="00BB7199">
      <w:pPr>
        <w:pStyle w:val="Heading2"/>
        <w:spacing w:after="0"/>
        <w:rPr>
          <w:rFonts w:ascii="Public Sans" w:hAnsi="Public Sans"/>
          <w:b/>
          <w:color w:val="auto"/>
        </w:rPr>
      </w:pPr>
      <w:r w:rsidRPr="00B9025A">
        <w:rPr>
          <w:rFonts w:ascii="Public Sans" w:hAnsi="Public Sans"/>
          <w:b/>
          <w:color w:val="auto"/>
        </w:rPr>
        <w:t>Other matters</w:t>
      </w:r>
    </w:p>
    <w:p w:rsidR="00887D69" w:rsidRDefault="00887D69" w:rsidP="00910984">
      <w:pPr>
        <w:pStyle w:val="BodyText"/>
        <w:widowControl w:val="0"/>
        <w:spacing w:before="0" w:after="0" w:line="240" w:lineRule="auto"/>
        <w:rPr>
          <w:rFonts w:ascii="Public Sans" w:hAnsi="Public Sans"/>
          <w:sz w:val="22"/>
        </w:rPr>
      </w:pPr>
    </w:p>
    <w:p w:rsidR="00887D69" w:rsidRPr="00B9025A" w:rsidRDefault="00443101" w:rsidP="00B9025A">
      <w:pPr>
        <w:pStyle w:val="Heading4"/>
        <w:spacing w:before="0"/>
        <w:rPr>
          <w:rFonts w:ascii="Public Sans" w:hAnsi="Public Sans"/>
          <w:b/>
          <w:color w:val="auto"/>
        </w:rPr>
      </w:pPr>
      <w:r>
        <w:rPr>
          <w:rFonts w:ascii="Public Sans" w:hAnsi="Public Sans"/>
          <w:b/>
          <w:color w:val="auto"/>
        </w:rPr>
        <w:t xml:space="preserve">Joint </w:t>
      </w:r>
      <w:r w:rsidR="00B9025A" w:rsidRPr="00B9025A">
        <w:rPr>
          <w:rFonts w:ascii="Public Sans" w:hAnsi="Public Sans"/>
          <w:b/>
          <w:color w:val="auto"/>
        </w:rPr>
        <w:t>Parliamentary Committee</w:t>
      </w:r>
    </w:p>
    <w:p w:rsidR="00B9025A" w:rsidRDefault="002F4609" w:rsidP="00910984">
      <w:pPr>
        <w:widowControl w:val="0"/>
        <w:rPr>
          <w:rFonts w:ascii="Public Sans" w:hAnsi="Public Sans"/>
          <w:sz w:val="22"/>
        </w:rPr>
      </w:pPr>
      <w:r>
        <w:rPr>
          <w:rFonts w:ascii="Public Sans" w:hAnsi="Public Sans"/>
          <w:sz w:val="22"/>
        </w:rPr>
        <w:t>The ADC reports directly to NSW Parliament, but does not currently have any oversight by a Parliam</w:t>
      </w:r>
      <w:r w:rsidR="00443101">
        <w:rPr>
          <w:rFonts w:ascii="Public Sans" w:hAnsi="Public Sans"/>
          <w:sz w:val="22"/>
        </w:rPr>
        <w:t xml:space="preserve">entary Committee. While we are a small agency, we </w:t>
      </w:r>
      <w:r w:rsidR="00AF79FF">
        <w:rPr>
          <w:rFonts w:ascii="Public Sans" w:hAnsi="Public Sans"/>
          <w:sz w:val="22"/>
        </w:rPr>
        <w:t xml:space="preserve">consider that there would </w:t>
      </w:r>
      <w:r w:rsidR="00443101">
        <w:rPr>
          <w:rFonts w:ascii="Public Sans" w:hAnsi="Public Sans"/>
          <w:sz w:val="22"/>
        </w:rPr>
        <w:t xml:space="preserve">be merit in the accountability afforded by a standing Joint Parliamentary Committee. </w:t>
      </w:r>
      <w:r w:rsidR="00AF79FF">
        <w:rPr>
          <w:rFonts w:ascii="Public Sans" w:hAnsi="Public Sans"/>
          <w:sz w:val="22"/>
        </w:rPr>
        <w:t xml:space="preserve">Part 7 of the </w:t>
      </w:r>
      <w:r w:rsidR="00AF79FF" w:rsidRPr="00AF79FF">
        <w:rPr>
          <w:rFonts w:ascii="Public Sans" w:hAnsi="Public Sans"/>
          <w:i/>
          <w:sz w:val="22"/>
        </w:rPr>
        <w:t>Advocate for Children and Young People Act 2014</w:t>
      </w:r>
      <w:r w:rsidR="00AF79FF">
        <w:rPr>
          <w:rFonts w:ascii="Public Sans" w:hAnsi="Public Sans"/>
          <w:sz w:val="22"/>
        </w:rPr>
        <w:t xml:space="preserve"> provides a useful guide for a potential equivalent provision in our Act. </w:t>
      </w:r>
    </w:p>
    <w:p w:rsidR="002F4609" w:rsidRDefault="002F4609" w:rsidP="00910984">
      <w:pPr>
        <w:widowControl w:val="0"/>
        <w:rPr>
          <w:rFonts w:ascii="Public Sans" w:hAnsi="Public Sans"/>
          <w:sz w:val="22"/>
        </w:rPr>
      </w:pPr>
    </w:p>
    <w:p w:rsidR="00D06F2D" w:rsidRPr="00B9025A" w:rsidRDefault="00D06F2D" w:rsidP="00D06F2D">
      <w:pPr>
        <w:pStyle w:val="Heading4"/>
        <w:spacing w:before="0"/>
        <w:rPr>
          <w:rFonts w:ascii="Public Sans" w:hAnsi="Public Sans"/>
          <w:b/>
          <w:color w:val="auto"/>
        </w:rPr>
      </w:pPr>
      <w:r>
        <w:rPr>
          <w:rFonts w:ascii="Public Sans" w:hAnsi="Public Sans"/>
          <w:b/>
          <w:color w:val="auto"/>
        </w:rPr>
        <w:t>Authorisation of restrictive practices</w:t>
      </w:r>
    </w:p>
    <w:p w:rsidR="00CF4B63" w:rsidRPr="00D06F2D" w:rsidRDefault="00CF4B63" w:rsidP="00910984">
      <w:pPr>
        <w:widowControl w:val="0"/>
        <w:spacing w:before="120"/>
        <w:rPr>
          <w:rFonts w:ascii="Public Sans" w:eastAsia="Times New Roman" w:hAnsi="Public Sans" w:cs="Tahoma"/>
          <w:sz w:val="22"/>
        </w:rPr>
      </w:pPr>
      <w:r w:rsidRPr="00D06F2D">
        <w:rPr>
          <w:rFonts w:ascii="Public Sans" w:eastAsia="Times New Roman" w:hAnsi="Public Sans" w:cs="Tahoma"/>
          <w:sz w:val="22"/>
        </w:rPr>
        <w:t xml:space="preserve">The NDIS Quality and Safeguarding Framework stipulates that states and territories are responsible for the authorisation of restrictive practices used by registered NDIS providers. This principle is reflected in the Bilateral Agreement between the Commonwealth and New South Wales on the National Disability Insurance Scheme, which states that NSW is responsible for policy and any related legislation, the authorisation and consent arrangements for restrictive practices in NSW. </w:t>
      </w:r>
    </w:p>
    <w:p w:rsidR="00CF4B63" w:rsidRPr="00D06F2D" w:rsidRDefault="00CF4B63" w:rsidP="00910984">
      <w:pPr>
        <w:widowControl w:val="0"/>
        <w:rPr>
          <w:rFonts w:ascii="Public Sans" w:eastAsia="Times New Roman" w:hAnsi="Public Sans" w:cs="Tahoma"/>
          <w:sz w:val="22"/>
        </w:rPr>
      </w:pPr>
    </w:p>
    <w:p w:rsidR="00CF4B63" w:rsidRPr="00D06F2D" w:rsidRDefault="00CF4B63" w:rsidP="00910984">
      <w:pPr>
        <w:widowControl w:val="0"/>
        <w:rPr>
          <w:rFonts w:ascii="Public Sans" w:hAnsi="Public Sans" w:cs="Tahoma"/>
          <w:sz w:val="22"/>
        </w:rPr>
      </w:pPr>
      <w:r w:rsidRPr="00D06F2D">
        <w:rPr>
          <w:rFonts w:ascii="Public Sans" w:eastAsia="Times New Roman" w:hAnsi="Public Sans" w:cs="Tahoma"/>
          <w:sz w:val="22"/>
        </w:rPr>
        <w:t xml:space="preserve">Currently, this function is performed by DCJ (Housing, Disability and District Services) and is based on two policy documents – </w:t>
      </w:r>
      <w:r w:rsidRPr="00D06F2D">
        <w:rPr>
          <w:rFonts w:ascii="Public Sans" w:hAnsi="Public Sans" w:cs="Tahoma"/>
          <w:sz w:val="22"/>
        </w:rPr>
        <w:t xml:space="preserve">the NSW Restrictive Practices Authorisation Policy and NSW Restrictive Practices Authorisation Procedural Guide. </w:t>
      </w:r>
    </w:p>
    <w:p w:rsidR="00CF4B63" w:rsidRPr="00D06F2D" w:rsidRDefault="00CF4B63" w:rsidP="00910984">
      <w:pPr>
        <w:widowControl w:val="0"/>
        <w:rPr>
          <w:rFonts w:ascii="Public Sans" w:hAnsi="Public Sans" w:cs="Tahoma"/>
          <w:sz w:val="22"/>
        </w:rPr>
      </w:pPr>
    </w:p>
    <w:p w:rsidR="00CF4B63" w:rsidRPr="00D06F2D" w:rsidRDefault="00CF4B63" w:rsidP="00910984">
      <w:pPr>
        <w:widowControl w:val="0"/>
        <w:rPr>
          <w:rFonts w:ascii="Public Sans" w:eastAsia="Times New Roman" w:hAnsi="Public Sans" w:cs="Tahoma"/>
          <w:sz w:val="22"/>
        </w:rPr>
      </w:pPr>
      <w:r w:rsidRPr="00D06F2D">
        <w:rPr>
          <w:rFonts w:ascii="Public Sans" w:eastAsia="Times New Roman" w:hAnsi="Public Sans" w:cs="Tahoma"/>
          <w:sz w:val="22"/>
        </w:rPr>
        <w:t>The draft Persons with Disability (Regulation of Restrictive Practices) Bill 2022 provides for the regulation of the authorisation of restrictive practices by NDIS providers in NSW, with oversight by the Ageing and Disability Commission (ADC). The Central Restrictive Practices Team (CRPT) in DCJ has been co-located with the ADC since 2020, to support transition planning ahead of the introduction of the Bill. However, the Bill has not been introduced to Parliament, and there is no current schedule to do so.</w:t>
      </w:r>
    </w:p>
    <w:p w:rsidR="00CF4B63" w:rsidRPr="00D06F2D" w:rsidRDefault="00CF4B63" w:rsidP="00910984">
      <w:pPr>
        <w:widowControl w:val="0"/>
        <w:rPr>
          <w:rFonts w:ascii="Public Sans" w:eastAsia="Times New Roman" w:hAnsi="Public Sans" w:cs="Tahoma"/>
          <w:sz w:val="22"/>
        </w:rPr>
      </w:pPr>
    </w:p>
    <w:p w:rsidR="00CF4B63" w:rsidRPr="00D06F2D" w:rsidRDefault="00CF4B63" w:rsidP="00910984">
      <w:pPr>
        <w:widowControl w:val="0"/>
        <w:rPr>
          <w:rFonts w:ascii="Public Sans" w:eastAsia="Times New Roman" w:hAnsi="Public Sans" w:cs="Tahoma"/>
          <w:sz w:val="22"/>
        </w:rPr>
      </w:pPr>
      <w:r w:rsidRPr="00D06F2D">
        <w:rPr>
          <w:rFonts w:ascii="Public Sans" w:eastAsia="Times New Roman" w:hAnsi="Public Sans" w:cs="Tahoma"/>
          <w:sz w:val="22"/>
        </w:rPr>
        <w:t xml:space="preserve">DCJ Legal has previously advised that, while the powers of the ADC are broad and could be said to cover monitoring and regulating the use of restrictive practices by NDIS providers, the ADC could not currently exercise these functions in relation to children and young people as the powers of the ADC apply only to adults. </w:t>
      </w:r>
    </w:p>
    <w:p w:rsidR="00CF4B63" w:rsidRPr="00D06F2D" w:rsidRDefault="00CF4B63" w:rsidP="00910984">
      <w:pPr>
        <w:widowControl w:val="0"/>
        <w:rPr>
          <w:rFonts w:ascii="Public Sans" w:eastAsia="Times New Roman" w:hAnsi="Public Sans" w:cs="Tahoma"/>
          <w:sz w:val="22"/>
        </w:rPr>
      </w:pPr>
    </w:p>
    <w:p w:rsidR="00CF4B63" w:rsidRPr="00D06F2D" w:rsidRDefault="00CF4B63" w:rsidP="00910984">
      <w:pPr>
        <w:widowControl w:val="0"/>
        <w:rPr>
          <w:rFonts w:ascii="Public Sans" w:eastAsia="Times New Roman" w:hAnsi="Public Sans" w:cs="Tahoma"/>
          <w:sz w:val="22"/>
        </w:rPr>
      </w:pPr>
      <w:r w:rsidRPr="00D06F2D">
        <w:rPr>
          <w:rFonts w:ascii="Public Sans" w:eastAsia="Times New Roman" w:hAnsi="Public Sans" w:cs="Tahoma"/>
          <w:sz w:val="22"/>
        </w:rPr>
        <w:t>The current arrangements are unsatisfactory. Among other things, they prevent the ADC from undertaking key activities that would support service improvement and action on issues relating to restrictive practices in NSW. In particular, the current situation:</w:t>
      </w:r>
    </w:p>
    <w:p w:rsidR="00CF4B63" w:rsidRPr="00D06F2D" w:rsidRDefault="00CF4B63" w:rsidP="000866C5">
      <w:pPr>
        <w:pStyle w:val="ListParagraph0"/>
        <w:widowControl w:val="0"/>
        <w:numPr>
          <w:ilvl w:val="0"/>
          <w:numId w:val="32"/>
        </w:numPr>
        <w:spacing w:after="0" w:line="240" w:lineRule="auto"/>
        <w:ind w:left="714" w:hanging="357"/>
        <w:rPr>
          <w:rFonts w:ascii="Public Sans" w:hAnsi="Public Sans" w:cs="Tahoma"/>
          <w:sz w:val="22"/>
        </w:rPr>
      </w:pPr>
      <w:r w:rsidRPr="00D06F2D">
        <w:rPr>
          <w:rFonts w:ascii="Public Sans" w:hAnsi="Public Sans" w:cs="Tahoma"/>
          <w:sz w:val="22"/>
        </w:rPr>
        <w:t>prevents the ADC from making necessary structural changes to best support the work of the CRPT and the ADC</w:t>
      </w:r>
    </w:p>
    <w:p w:rsidR="00CF4B63" w:rsidRPr="00D06F2D" w:rsidRDefault="00CF4B63" w:rsidP="000866C5">
      <w:pPr>
        <w:pStyle w:val="ListParagraph0"/>
        <w:widowControl w:val="0"/>
        <w:numPr>
          <w:ilvl w:val="0"/>
          <w:numId w:val="32"/>
        </w:numPr>
        <w:spacing w:after="0" w:line="240" w:lineRule="auto"/>
        <w:ind w:left="714" w:hanging="357"/>
        <w:rPr>
          <w:rFonts w:ascii="Public Sans" w:hAnsi="Public Sans" w:cs="Tahoma"/>
          <w:sz w:val="22"/>
        </w:rPr>
      </w:pPr>
      <w:r w:rsidRPr="00D06F2D">
        <w:rPr>
          <w:rFonts w:ascii="Public Sans" w:hAnsi="Public Sans" w:cs="Tahoma"/>
          <w:sz w:val="22"/>
        </w:rPr>
        <w:lastRenderedPageBreak/>
        <w:t xml:space="preserve">does not enable the ADC to identify and act on common issues arising in relation to registered NDIS providers through both the RPA function and Official Community Visitor (OCV) scheme </w:t>
      </w:r>
    </w:p>
    <w:p w:rsidR="00CF4B63" w:rsidRPr="00D06F2D" w:rsidRDefault="00CF4B63" w:rsidP="000866C5">
      <w:pPr>
        <w:pStyle w:val="ListParagraph0"/>
        <w:widowControl w:val="0"/>
        <w:numPr>
          <w:ilvl w:val="0"/>
          <w:numId w:val="32"/>
        </w:numPr>
        <w:spacing w:after="0" w:line="240" w:lineRule="auto"/>
        <w:ind w:left="714" w:hanging="357"/>
        <w:rPr>
          <w:rFonts w:ascii="Public Sans" w:hAnsi="Public Sans" w:cs="Tahoma"/>
          <w:sz w:val="22"/>
        </w:rPr>
      </w:pPr>
      <w:r w:rsidRPr="00D06F2D">
        <w:rPr>
          <w:rFonts w:ascii="Public Sans" w:hAnsi="Public Sans" w:cs="Tahoma"/>
          <w:sz w:val="22"/>
        </w:rPr>
        <w:t>does not enable the ADC to best use information holdings in relation to the use of restrictive practices in NSW amassed through the RPA function, the OCV scheme and reports to the ADC, to inform and influence activities to reduce and eliminate the use of these practices.</w:t>
      </w:r>
    </w:p>
    <w:p w:rsidR="00CF4B63" w:rsidRPr="00D06F2D" w:rsidRDefault="00CF4B63" w:rsidP="00910984">
      <w:pPr>
        <w:widowControl w:val="0"/>
        <w:rPr>
          <w:rFonts w:ascii="Public Sans" w:hAnsi="Public Sans" w:cs="Tahoma"/>
          <w:sz w:val="22"/>
        </w:rPr>
      </w:pPr>
    </w:p>
    <w:p w:rsidR="00CF4B63" w:rsidRPr="00D06F2D" w:rsidRDefault="00CF4B63" w:rsidP="00E5664B">
      <w:pPr>
        <w:widowControl w:val="0"/>
        <w:rPr>
          <w:rFonts w:ascii="Public Sans" w:hAnsi="Public Sans" w:cs="Tahoma"/>
          <w:sz w:val="22"/>
        </w:rPr>
      </w:pPr>
      <w:r w:rsidRPr="00D06F2D">
        <w:rPr>
          <w:rFonts w:ascii="Public Sans" w:hAnsi="Public Sans" w:cs="Tahoma"/>
          <w:sz w:val="22"/>
        </w:rPr>
        <w:t xml:space="preserve">Against this background, the ADC </w:t>
      </w:r>
      <w:r w:rsidR="00D06F2D">
        <w:rPr>
          <w:rFonts w:ascii="Public Sans" w:hAnsi="Public Sans" w:cs="Tahoma"/>
          <w:sz w:val="22"/>
        </w:rPr>
        <w:t xml:space="preserve">considers that there would be merit in amending </w:t>
      </w:r>
      <w:r w:rsidRPr="00D06F2D">
        <w:rPr>
          <w:rFonts w:ascii="Public Sans" w:hAnsi="Public Sans" w:cs="Tahoma"/>
          <w:sz w:val="22"/>
        </w:rPr>
        <w:t xml:space="preserve">the </w:t>
      </w:r>
      <w:r w:rsidR="00D06F2D">
        <w:rPr>
          <w:rFonts w:ascii="Public Sans" w:hAnsi="Public Sans" w:cs="Tahoma"/>
          <w:sz w:val="22"/>
        </w:rPr>
        <w:t>Act</w:t>
      </w:r>
      <w:r w:rsidRPr="00D06F2D">
        <w:rPr>
          <w:rFonts w:ascii="Public Sans" w:hAnsi="Public Sans" w:cs="Tahoma"/>
          <w:sz w:val="22"/>
        </w:rPr>
        <w:t xml:space="preserve"> to enable the </w:t>
      </w:r>
      <w:r w:rsidR="00D06F2D">
        <w:rPr>
          <w:rFonts w:ascii="Public Sans" w:hAnsi="Public Sans" w:cs="Tahoma"/>
          <w:sz w:val="22"/>
        </w:rPr>
        <w:t>ADC</w:t>
      </w:r>
      <w:r w:rsidRPr="00D06F2D">
        <w:rPr>
          <w:rFonts w:ascii="Public Sans" w:hAnsi="Public Sans" w:cs="Tahoma"/>
          <w:sz w:val="22"/>
        </w:rPr>
        <w:t xml:space="preserve"> to take over responsibility for the interim restrictive practices authorisation (RPA) model from DCJ, pending introduction of </w:t>
      </w:r>
      <w:r w:rsidR="00D06F2D">
        <w:rPr>
          <w:rFonts w:ascii="Public Sans" w:hAnsi="Public Sans" w:cs="Tahoma"/>
          <w:sz w:val="22"/>
        </w:rPr>
        <w:t>a</w:t>
      </w:r>
      <w:r w:rsidRPr="00D06F2D">
        <w:rPr>
          <w:rFonts w:ascii="Public Sans" w:hAnsi="Public Sans" w:cs="Tahoma"/>
          <w:sz w:val="22"/>
        </w:rPr>
        <w:t xml:space="preserve"> Bill and commencement of </w:t>
      </w:r>
      <w:r w:rsidR="008E2B5D">
        <w:rPr>
          <w:rFonts w:ascii="Public Sans" w:hAnsi="Public Sans" w:cs="Tahoma"/>
          <w:sz w:val="22"/>
        </w:rPr>
        <w:t xml:space="preserve">associated </w:t>
      </w:r>
      <w:r w:rsidRPr="00D06F2D">
        <w:rPr>
          <w:rFonts w:ascii="Public Sans" w:hAnsi="Public Sans" w:cs="Tahoma"/>
          <w:sz w:val="22"/>
        </w:rPr>
        <w:t xml:space="preserve">legislation. </w:t>
      </w:r>
    </w:p>
    <w:p w:rsidR="00CF4B63" w:rsidRPr="00D06F2D" w:rsidRDefault="00CF4B63" w:rsidP="00910984">
      <w:pPr>
        <w:widowControl w:val="0"/>
        <w:rPr>
          <w:rFonts w:ascii="Public Sans" w:hAnsi="Public Sans" w:cs="Tahoma"/>
          <w:sz w:val="22"/>
        </w:rPr>
      </w:pPr>
    </w:p>
    <w:p w:rsidR="008E2B5D" w:rsidRDefault="00CF4B63" w:rsidP="008E2B5D">
      <w:pPr>
        <w:rPr>
          <w:rFonts w:ascii="Public Sans" w:hAnsi="Public Sans" w:cs="Tahoma"/>
        </w:rPr>
      </w:pPr>
      <w:r w:rsidRPr="00D06F2D">
        <w:rPr>
          <w:rFonts w:ascii="Public Sans" w:hAnsi="Public Sans" w:cs="Tahoma"/>
          <w:sz w:val="22"/>
        </w:rPr>
        <w:t xml:space="preserve">It </w:t>
      </w:r>
      <w:r w:rsidR="008E2B5D">
        <w:rPr>
          <w:rFonts w:ascii="Public Sans" w:hAnsi="Public Sans" w:cs="Tahoma"/>
          <w:sz w:val="22"/>
        </w:rPr>
        <w:t>would be</w:t>
      </w:r>
      <w:r w:rsidRPr="00D06F2D">
        <w:rPr>
          <w:rFonts w:ascii="Public Sans" w:hAnsi="Public Sans" w:cs="Tahoma"/>
          <w:sz w:val="22"/>
        </w:rPr>
        <w:t xml:space="preserve"> important </w:t>
      </w:r>
      <w:r w:rsidR="008E2B5D">
        <w:rPr>
          <w:rFonts w:ascii="Public Sans" w:hAnsi="Public Sans" w:cs="Tahoma"/>
          <w:sz w:val="22"/>
        </w:rPr>
        <w:t xml:space="preserve">to ensure </w:t>
      </w:r>
      <w:r w:rsidRPr="00D06F2D">
        <w:rPr>
          <w:rFonts w:ascii="Public Sans" w:hAnsi="Public Sans" w:cs="Tahoma"/>
          <w:sz w:val="22"/>
        </w:rPr>
        <w:t>that any extension to the scope of the Act to include children and young people with disability does not include the functions of the ADC in relation to dealing with allegations of abuse, neglect and exploitation (sections 12(1)(a) and (b)).</w:t>
      </w:r>
      <w:r w:rsidR="008E2B5D">
        <w:rPr>
          <w:rFonts w:ascii="Public Sans" w:hAnsi="Public Sans" w:cs="Tahoma"/>
          <w:sz w:val="22"/>
        </w:rPr>
        <w:t xml:space="preserve"> </w:t>
      </w:r>
      <w:r w:rsidR="008E2B5D" w:rsidRPr="008E2B5D">
        <w:rPr>
          <w:rFonts w:ascii="Public Sans" w:hAnsi="Public Sans" w:cs="Tahoma"/>
          <w:sz w:val="22"/>
        </w:rPr>
        <w:t xml:space="preserve">This would duplicate the child protection responsibilities of DCJ and other parties under the </w:t>
      </w:r>
      <w:r w:rsidR="008E2B5D" w:rsidRPr="008E2B5D">
        <w:rPr>
          <w:rFonts w:ascii="Public Sans" w:hAnsi="Public Sans" w:cs="Tahoma"/>
          <w:i/>
          <w:sz w:val="22"/>
        </w:rPr>
        <w:t>Children and Young Persons (Care and Protection) Act 1998</w:t>
      </w:r>
      <w:r w:rsidR="008E2B5D" w:rsidRPr="008E2B5D">
        <w:rPr>
          <w:rFonts w:ascii="Public Sans" w:hAnsi="Public Sans" w:cs="Tahoma"/>
          <w:sz w:val="22"/>
        </w:rPr>
        <w:t xml:space="preserve">.  </w:t>
      </w:r>
    </w:p>
    <w:p w:rsidR="00CF4B63" w:rsidRDefault="00CF4B63" w:rsidP="00910984">
      <w:pPr>
        <w:pStyle w:val="BodyText"/>
        <w:widowControl w:val="0"/>
        <w:spacing w:before="0" w:after="0" w:line="240" w:lineRule="auto"/>
        <w:rPr>
          <w:rFonts w:ascii="Public Sans" w:hAnsi="Public Sans" w:cs="Tahoma"/>
          <w:sz w:val="22"/>
        </w:rPr>
      </w:pPr>
    </w:p>
    <w:p w:rsidR="00A15F76" w:rsidRPr="00B9025A" w:rsidRDefault="00A15F76" w:rsidP="001E682F">
      <w:pPr>
        <w:pStyle w:val="Heading4"/>
        <w:spacing w:before="0"/>
        <w:rPr>
          <w:rFonts w:ascii="Public Sans" w:hAnsi="Public Sans"/>
          <w:b/>
          <w:color w:val="auto"/>
        </w:rPr>
      </w:pPr>
      <w:r>
        <w:rPr>
          <w:rFonts w:ascii="Public Sans" w:hAnsi="Public Sans"/>
          <w:b/>
          <w:color w:val="auto"/>
        </w:rPr>
        <w:t>Resourcing of the ADC and OCV scheme</w:t>
      </w:r>
    </w:p>
    <w:p w:rsidR="00187758" w:rsidRPr="00187758" w:rsidRDefault="00187758" w:rsidP="001E682F">
      <w:pPr>
        <w:pStyle w:val="Heading5"/>
        <w:spacing w:before="0" w:after="0"/>
        <w:rPr>
          <w:rFonts w:ascii="Public Sans" w:eastAsia="Calibri" w:hAnsi="Public Sans"/>
          <w:color w:val="auto"/>
          <w:sz w:val="22"/>
        </w:rPr>
      </w:pPr>
      <w:r>
        <w:rPr>
          <w:rFonts w:ascii="Public Sans" w:eastAsia="Calibri" w:hAnsi="Public Sans"/>
          <w:color w:val="auto"/>
          <w:sz w:val="22"/>
        </w:rPr>
        <w:t>The</w:t>
      </w:r>
      <w:r w:rsidR="009431BC">
        <w:rPr>
          <w:rFonts w:ascii="Public Sans" w:eastAsia="Calibri" w:hAnsi="Public Sans"/>
          <w:color w:val="auto"/>
          <w:sz w:val="22"/>
        </w:rPr>
        <w:t xml:space="preserve"> existing recurrent budgets of the</w:t>
      </w:r>
      <w:r>
        <w:rPr>
          <w:rFonts w:ascii="Public Sans" w:eastAsia="Calibri" w:hAnsi="Public Sans"/>
          <w:color w:val="auto"/>
          <w:sz w:val="22"/>
        </w:rPr>
        <w:t xml:space="preserve"> ADC and OCV scheme </w:t>
      </w:r>
      <w:r w:rsidR="00E55C2C">
        <w:rPr>
          <w:rFonts w:ascii="Public Sans" w:eastAsia="Calibri" w:hAnsi="Public Sans"/>
          <w:color w:val="auto"/>
          <w:sz w:val="22"/>
        </w:rPr>
        <w:t xml:space="preserve">are </w:t>
      </w:r>
      <w:r w:rsidR="00E509DE">
        <w:rPr>
          <w:rFonts w:ascii="Public Sans" w:eastAsia="Calibri" w:hAnsi="Public Sans"/>
          <w:color w:val="auto"/>
          <w:sz w:val="22"/>
        </w:rPr>
        <w:t xml:space="preserve">insufficient to meet current and increasing demand, and present </w:t>
      </w:r>
      <w:r w:rsidR="00432BAC">
        <w:rPr>
          <w:rFonts w:ascii="Public Sans" w:eastAsia="Calibri" w:hAnsi="Public Sans"/>
          <w:color w:val="auto"/>
          <w:sz w:val="22"/>
        </w:rPr>
        <w:t>ongoing</w:t>
      </w:r>
      <w:r w:rsidR="00E509DE">
        <w:rPr>
          <w:rFonts w:ascii="Public Sans" w:eastAsia="Calibri" w:hAnsi="Public Sans"/>
          <w:color w:val="auto"/>
          <w:sz w:val="22"/>
        </w:rPr>
        <w:t xml:space="preserve"> sustainability issues and </w:t>
      </w:r>
      <w:r w:rsidR="00432BAC">
        <w:rPr>
          <w:rFonts w:ascii="Public Sans" w:eastAsia="Calibri" w:hAnsi="Public Sans"/>
          <w:color w:val="auto"/>
          <w:sz w:val="22"/>
        </w:rPr>
        <w:t xml:space="preserve">significant </w:t>
      </w:r>
      <w:r w:rsidR="00E509DE">
        <w:rPr>
          <w:rFonts w:ascii="Public Sans" w:eastAsia="Calibri" w:hAnsi="Public Sans"/>
          <w:color w:val="auto"/>
          <w:sz w:val="22"/>
        </w:rPr>
        <w:t xml:space="preserve">risks to the ability of the ADC and OCVs to meet </w:t>
      </w:r>
      <w:r w:rsidR="009431BC">
        <w:rPr>
          <w:rFonts w:ascii="Public Sans" w:eastAsia="Calibri" w:hAnsi="Public Sans"/>
          <w:color w:val="auto"/>
          <w:sz w:val="22"/>
        </w:rPr>
        <w:t xml:space="preserve">their legislated functions.  </w:t>
      </w:r>
    </w:p>
    <w:p w:rsidR="00F760D9" w:rsidRPr="00F760D9" w:rsidRDefault="00F760D9" w:rsidP="00E10E86">
      <w:pPr>
        <w:pStyle w:val="Heading5"/>
        <w:spacing w:before="240"/>
        <w:rPr>
          <w:rFonts w:ascii="Public Sans" w:eastAsia="Calibri" w:hAnsi="Public Sans"/>
          <w:b/>
          <w:color w:val="auto"/>
          <w:sz w:val="22"/>
        </w:rPr>
      </w:pPr>
      <w:r w:rsidRPr="00F760D9">
        <w:rPr>
          <w:rFonts w:ascii="Public Sans" w:eastAsia="Calibri" w:hAnsi="Public Sans"/>
          <w:b/>
          <w:color w:val="auto"/>
          <w:sz w:val="22"/>
        </w:rPr>
        <w:t>ADC</w:t>
      </w:r>
    </w:p>
    <w:p w:rsidR="001666DE" w:rsidRDefault="00104EA4" w:rsidP="001666DE">
      <w:pPr>
        <w:pStyle w:val="BodyText1"/>
        <w:spacing w:after="0"/>
        <w:jc w:val="left"/>
        <w:rPr>
          <w:rFonts w:ascii="Public Sans" w:eastAsia="Calibri" w:hAnsi="Public Sans" w:cs="Arial"/>
          <w:sz w:val="22"/>
          <w:szCs w:val="21"/>
        </w:rPr>
      </w:pPr>
      <w:r w:rsidRPr="00104EA4">
        <w:rPr>
          <w:rFonts w:ascii="Public Sans" w:eastAsia="Calibri" w:hAnsi="Public Sans" w:cs="Arial"/>
          <w:sz w:val="22"/>
          <w:szCs w:val="21"/>
        </w:rPr>
        <w:t xml:space="preserve">The original budget </w:t>
      </w:r>
      <w:r w:rsidR="00C974FF">
        <w:rPr>
          <w:rFonts w:ascii="Public Sans" w:eastAsia="Calibri" w:hAnsi="Public Sans" w:cs="Arial"/>
          <w:sz w:val="22"/>
          <w:szCs w:val="21"/>
        </w:rPr>
        <w:t xml:space="preserve">proposed by DCJ </w:t>
      </w:r>
      <w:r>
        <w:rPr>
          <w:rFonts w:ascii="Public Sans" w:eastAsia="Calibri" w:hAnsi="Public Sans" w:cs="Arial"/>
          <w:sz w:val="22"/>
          <w:szCs w:val="21"/>
        </w:rPr>
        <w:t xml:space="preserve">for the ADC </w:t>
      </w:r>
      <w:r w:rsidR="00275D63">
        <w:rPr>
          <w:rFonts w:ascii="Public Sans" w:eastAsia="Calibri" w:hAnsi="Public Sans" w:cs="Arial"/>
          <w:sz w:val="22"/>
          <w:szCs w:val="21"/>
        </w:rPr>
        <w:t>was</w:t>
      </w:r>
      <w:r>
        <w:rPr>
          <w:rFonts w:ascii="Public Sans" w:eastAsia="Calibri" w:hAnsi="Public Sans" w:cs="Arial"/>
          <w:sz w:val="22"/>
          <w:szCs w:val="21"/>
        </w:rPr>
        <w:t xml:space="preserve"> $29m over four years</w:t>
      </w:r>
      <w:r w:rsidR="00275D63">
        <w:rPr>
          <w:rFonts w:ascii="Public Sans" w:eastAsia="Calibri" w:hAnsi="Public Sans" w:cs="Arial"/>
          <w:sz w:val="22"/>
          <w:szCs w:val="21"/>
        </w:rPr>
        <w:t xml:space="preserve">, and </w:t>
      </w:r>
      <w:r w:rsidRPr="00104EA4">
        <w:rPr>
          <w:rFonts w:ascii="Public Sans" w:eastAsia="Calibri" w:hAnsi="Public Sans" w:cs="Arial"/>
          <w:sz w:val="22"/>
          <w:szCs w:val="21"/>
        </w:rPr>
        <w:t xml:space="preserve">represented the minimum required for establishment and operation. </w:t>
      </w:r>
      <w:r w:rsidRPr="00104EA4">
        <w:rPr>
          <w:rFonts w:ascii="Public Sans" w:hAnsi="Public Sans"/>
          <w:sz w:val="22"/>
          <w:szCs w:val="21"/>
        </w:rPr>
        <w:t xml:space="preserve">However, </w:t>
      </w:r>
      <w:r w:rsidR="001666DE">
        <w:rPr>
          <w:rFonts w:ascii="Public Sans" w:hAnsi="Public Sans"/>
          <w:sz w:val="22"/>
          <w:szCs w:val="21"/>
        </w:rPr>
        <w:t xml:space="preserve">ahead of the start of the ADC, </w:t>
      </w:r>
      <w:r w:rsidRPr="00104EA4">
        <w:rPr>
          <w:rFonts w:ascii="Public Sans" w:hAnsi="Public Sans"/>
          <w:sz w:val="22"/>
          <w:szCs w:val="21"/>
        </w:rPr>
        <w:t>th</w:t>
      </w:r>
      <w:r w:rsidR="00C974FF">
        <w:rPr>
          <w:rFonts w:ascii="Public Sans" w:hAnsi="Public Sans"/>
          <w:sz w:val="22"/>
          <w:szCs w:val="21"/>
        </w:rPr>
        <w:t xml:space="preserve">e final approved budget </w:t>
      </w:r>
      <w:r w:rsidRPr="00104EA4">
        <w:rPr>
          <w:rFonts w:ascii="Public Sans" w:hAnsi="Public Sans"/>
          <w:sz w:val="22"/>
          <w:szCs w:val="21"/>
        </w:rPr>
        <w:t>was reduced to an annual budget of $3.2m ($13.9m over four years).</w:t>
      </w:r>
      <w:r w:rsidRPr="00104EA4">
        <w:rPr>
          <w:rFonts w:ascii="Public Sans" w:eastAsia="Calibri" w:hAnsi="Public Sans" w:cs="Arial"/>
          <w:sz w:val="22"/>
          <w:szCs w:val="21"/>
        </w:rPr>
        <w:t> </w:t>
      </w:r>
    </w:p>
    <w:p w:rsidR="001666DE" w:rsidRDefault="001666DE" w:rsidP="001666DE">
      <w:pPr>
        <w:pStyle w:val="BodyText1"/>
        <w:spacing w:after="0"/>
        <w:jc w:val="left"/>
        <w:rPr>
          <w:rFonts w:ascii="Public Sans" w:eastAsia="Calibri" w:hAnsi="Public Sans" w:cs="Arial"/>
          <w:sz w:val="22"/>
          <w:szCs w:val="21"/>
        </w:rPr>
      </w:pPr>
    </w:p>
    <w:p w:rsidR="001666DE" w:rsidRPr="00104EA4" w:rsidRDefault="001666DE" w:rsidP="001666DE">
      <w:pPr>
        <w:pStyle w:val="BodyText1"/>
        <w:spacing w:after="0"/>
        <w:jc w:val="left"/>
        <w:rPr>
          <w:rFonts w:ascii="Public Sans" w:eastAsia="Calibri" w:hAnsi="Public Sans" w:cs="Arial"/>
          <w:sz w:val="22"/>
          <w:szCs w:val="21"/>
        </w:rPr>
      </w:pPr>
      <w:r>
        <w:rPr>
          <w:rFonts w:ascii="Public Sans" w:eastAsia="Calibri" w:hAnsi="Public Sans" w:cs="Arial"/>
          <w:sz w:val="22"/>
          <w:szCs w:val="21"/>
        </w:rPr>
        <w:t xml:space="preserve">To support the ADC to undertake its legislated obligations, the then Minister requested and approved the provision of additional funding by </w:t>
      </w:r>
      <w:r w:rsidRPr="00104EA4">
        <w:rPr>
          <w:rFonts w:ascii="Public Sans" w:eastAsia="Calibri" w:hAnsi="Public Sans" w:cs="Arial"/>
          <w:sz w:val="22"/>
          <w:szCs w:val="21"/>
        </w:rPr>
        <w:t>D</w:t>
      </w:r>
      <w:bookmarkStart w:id="1" w:name="_GoBack"/>
      <w:bookmarkEnd w:id="1"/>
      <w:r w:rsidRPr="00104EA4">
        <w:rPr>
          <w:rFonts w:ascii="Public Sans" w:eastAsia="Calibri" w:hAnsi="Public Sans" w:cs="Arial"/>
          <w:sz w:val="22"/>
          <w:szCs w:val="21"/>
        </w:rPr>
        <w:t xml:space="preserve">CJ </w:t>
      </w:r>
      <w:r>
        <w:rPr>
          <w:rFonts w:ascii="Public Sans" w:eastAsia="Calibri" w:hAnsi="Public Sans" w:cs="Arial"/>
          <w:sz w:val="22"/>
          <w:szCs w:val="21"/>
        </w:rPr>
        <w:t xml:space="preserve">to the ADC </w:t>
      </w:r>
      <w:r w:rsidRPr="00104EA4">
        <w:rPr>
          <w:rFonts w:ascii="Public Sans" w:eastAsia="Calibri" w:hAnsi="Public Sans" w:cs="Arial"/>
          <w:sz w:val="22"/>
          <w:szCs w:val="21"/>
        </w:rPr>
        <w:t>in 2019/20 ($500k) and in 2020</w:t>
      </w:r>
      <w:r w:rsidR="00D60158">
        <w:rPr>
          <w:rFonts w:ascii="Public Sans" w:eastAsia="Calibri" w:hAnsi="Public Sans" w:cs="Arial"/>
          <w:sz w:val="22"/>
          <w:szCs w:val="21"/>
        </w:rPr>
        <w:t>/</w:t>
      </w:r>
      <w:r w:rsidRPr="00104EA4">
        <w:rPr>
          <w:rFonts w:ascii="Public Sans" w:eastAsia="Calibri" w:hAnsi="Public Sans" w:cs="Arial"/>
          <w:sz w:val="22"/>
          <w:szCs w:val="21"/>
        </w:rPr>
        <w:t>21, 2021</w:t>
      </w:r>
      <w:r w:rsidR="00D60158">
        <w:rPr>
          <w:rFonts w:ascii="Public Sans" w:eastAsia="Calibri" w:hAnsi="Public Sans" w:cs="Arial"/>
          <w:sz w:val="22"/>
          <w:szCs w:val="21"/>
        </w:rPr>
        <w:t>/</w:t>
      </w:r>
      <w:r w:rsidRPr="00104EA4">
        <w:rPr>
          <w:rFonts w:ascii="Public Sans" w:eastAsia="Calibri" w:hAnsi="Public Sans" w:cs="Arial"/>
          <w:sz w:val="22"/>
          <w:szCs w:val="21"/>
        </w:rPr>
        <w:t>22, 2022</w:t>
      </w:r>
      <w:r w:rsidR="00D60158">
        <w:rPr>
          <w:rFonts w:ascii="Public Sans" w:eastAsia="Calibri" w:hAnsi="Public Sans" w:cs="Arial"/>
          <w:sz w:val="22"/>
          <w:szCs w:val="21"/>
        </w:rPr>
        <w:t>/</w:t>
      </w:r>
      <w:r w:rsidRPr="00104EA4">
        <w:rPr>
          <w:rFonts w:ascii="Public Sans" w:eastAsia="Calibri" w:hAnsi="Public Sans" w:cs="Arial"/>
          <w:sz w:val="22"/>
          <w:szCs w:val="21"/>
        </w:rPr>
        <w:t>23 ($1m p.a</w:t>
      </w:r>
      <w:r>
        <w:rPr>
          <w:rFonts w:ascii="Public Sans" w:eastAsia="Calibri" w:hAnsi="Public Sans" w:cs="Arial"/>
          <w:sz w:val="22"/>
          <w:szCs w:val="21"/>
        </w:rPr>
        <w:t>.</w:t>
      </w:r>
      <w:r w:rsidRPr="00104EA4">
        <w:rPr>
          <w:rFonts w:ascii="Public Sans" w:eastAsia="Calibri" w:hAnsi="Public Sans" w:cs="Arial"/>
          <w:sz w:val="22"/>
          <w:szCs w:val="21"/>
        </w:rPr>
        <w:t xml:space="preserve">). </w:t>
      </w:r>
      <w:r w:rsidR="00C974FF">
        <w:rPr>
          <w:rFonts w:ascii="Public Sans" w:eastAsia="Calibri" w:hAnsi="Public Sans" w:cs="Arial"/>
          <w:sz w:val="22"/>
          <w:szCs w:val="21"/>
        </w:rPr>
        <w:t xml:space="preserve">This viability supplementation ceases at the end of this financial year. </w:t>
      </w:r>
    </w:p>
    <w:p w:rsidR="001666DE" w:rsidRDefault="001666DE" w:rsidP="001666DE">
      <w:pPr>
        <w:rPr>
          <w:rFonts w:ascii="Public Sans" w:hAnsi="Public Sans" w:cs="Arial"/>
          <w:color w:val="000000"/>
          <w:sz w:val="22"/>
          <w:szCs w:val="24"/>
        </w:rPr>
      </w:pPr>
    </w:p>
    <w:p w:rsidR="001666DE" w:rsidRPr="00104EA4" w:rsidRDefault="001666DE" w:rsidP="001666DE">
      <w:pPr>
        <w:rPr>
          <w:rFonts w:ascii="Public Sans" w:hAnsi="Public Sans" w:cs="Arial"/>
          <w:color w:val="000000"/>
          <w:sz w:val="22"/>
          <w:szCs w:val="24"/>
        </w:rPr>
      </w:pPr>
      <w:r w:rsidRPr="00104EA4">
        <w:rPr>
          <w:rFonts w:ascii="Public Sans" w:hAnsi="Public Sans" w:cs="Arial"/>
          <w:color w:val="000000"/>
          <w:sz w:val="22"/>
          <w:szCs w:val="24"/>
        </w:rPr>
        <w:t>Since the</w:t>
      </w:r>
      <w:r>
        <w:rPr>
          <w:rFonts w:ascii="Public Sans" w:hAnsi="Public Sans" w:cs="Arial"/>
          <w:color w:val="000000"/>
          <w:sz w:val="22"/>
          <w:szCs w:val="24"/>
        </w:rPr>
        <w:t xml:space="preserve"> original provision of additional grant funds in 2019/20, </w:t>
      </w:r>
      <w:r w:rsidRPr="00104EA4">
        <w:rPr>
          <w:rFonts w:ascii="Public Sans" w:hAnsi="Public Sans" w:cs="Arial"/>
          <w:color w:val="000000"/>
          <w:sz w:val="22"/>
          <w:szCs w:val="24"/>
        </w:rPr>
        <w:t>demand has continued to grow</w:t>
      </w:r>
      <w:r w:rsidR="007B6901">
        <w:rPr>
          <w:rFonts w:ascii="Public Sans" w:hAnsi="Public Sans" w:cs="Arial"/>
          <w:color w:val="000000"/>
          <w:sz w:val="22"/>
          <w:szCs w:val="24"/>
        </w:rPr>
        <w:t xml:space="preserve"> – including a 73% increase in statutory reports</w:t>
      </w:r>
      <w:r w:rsidRPr="00104EA4">
        <w:rPr>
          <w:rFonts w:ascii="Public Sans" w:hAnsi="Public Sans" w:cs="Arial"/>
          <w:color w:val="000000"/>
          <w:sz w:val="22"/>
          <w:szCs w:val="24"/>
        </w:rPr>
        <w:t xml:space="preserve"> </w:t>
      </w:r>
      <w:r w:rsidR="007B6901">
        <w:rPr>
          <w:rFonts w:ascii="Public Sans" w:hAnsi="Public Sans" w:cs="Arial"/>
          <w:color w:val="000000"/>
          <w:sz w:val="22"/>
          <w:szCs w:val="24"/>
        </w:rPr>
        <w:t xml:space="preserve">– </w:t>
      </w:r>
      <w:r w:rsidRPr="00104EA4">
        <w:rPr>
          <w:rFonts w:ascii="Public Sans" w:hAnsi="Public Sans" w:cs="Arial"/>
          <w:color w:val="000000"/>
          <w:sz w:val="22"/>
          <w:szCs w:val="24"/>
        </w:rPr>
        <w:t>but the financial viability of the ADC remains unresolved.</w:t>
      </w:r>
    </w:p>
    <w:p w:rsidR="001666DE" w:rsidRDefault="001666DE" w:rsidP="00104EA4">
      <w:pPr>
        <w:pStyle w:val="BodyText1"/>
        <w:spacing w:after="0"/>
        <w:jc w:val="left"/>
        <w:rPr>
          <w:rFonts w:ascii="Public Sans" w:eastAsia="Calibri" w:hAnsi="Public Sans" w:cs="Arial"/>
          <w:sz w:val="22"/>
          <w:szCs w:val="21"/>
        </w:rPr>
      </w:pPr>
    </w:p>
    <w:p w:rsidR="00104EA4" w:rsidRDefault="00F71690" w:rsidP="00104EA4">
      <w:pPr>
        <w:pStyle w:val="BodyText1"/>
        <w:spacing w:after="0"/>
        <w:jc w:val="left"/>
        <w:rPr>
          <w:rFonts w:ascii="Public Sans" w:hAnsi="Public Sans"/>
          <w:sz w:val="22"/>
          <w:szCs w:val="21"/>
        </w:rPr>
      </w:pPr>
      <w:r>
        <w:rPr>
          <w:rFonts w:ascii="Public Sans" w:hAnsi="Public Sans"/>
          <w:sz w:val="22"/>
          <w:szCs w:val="21"/>
        </w:rPr>
        <w:t>Ex</w:t>
      </w:r>
      <w:r w:rsidR="000E5680">
        <w:rPr>
          <w:rFonts w:ascii="Public Sans" w:hAnsi="Public Sans"/>
          <w:sz w:val="22"/>
          <w:szCs w:val="21"/>
        </w:rPr>
        <w:t>penditure Review Committee</w:t>
      </w:r>
      <w:r w:rsidR="00104EA4" w:rsidRPr="00104EA4">
        <w:rPr>
          <w:rFonts w:ascii="Public Sans" w:hAnsi="Public Sans"/>
          <w:sz w:val="22"/>
          <w:szCs w:val="21"/>
        </w:rPr>
        <w:t xml:space="preserve"> budget bids</w:t>
      </w:r>
      <w:r>
        <w:rPr>
          <w:rFonts w:ascii="Public Sans" w:hAnsi="Public Sans"/>
          <w:sz w:val="22"/>
          <w:szCs w:val="21"/>
        </w:rPr>
        <w:t xml:space="preserve"> by the ADC</w:t>
      </w:r>
      <w:r w:rsidR="00104EA4" w:rsidRPr="00104EA4">
        <w:rPr>
          <w:rFonts w:ascii="Public Sans" w:hAnsi="Public Sans"/>
          <w:sz w:val="22"/>
          <w:szCs w:val="21"/>
        </w:rPr>
        <w:t xml:space="preserve"> have been unsuccessful</w:t>
      </w:r>
      <w:r>
        <w:rPr>
          <w:rFonts w:ascii="Public Sans" w:hAnsi="Public Sans"/>
          <w:sz w:val="22"/>
          <w:szCs w:val="21"/>
        </w:rPr>
        <w:t xml:space="preserve"> to date. A</w:t>
      </w:r>
      <w:r w:rsidR="00104EA4" w:rsidRPr="00104EA4">
        <w:rPr>
          <w:rFonts w:ascii="Public Sans" w:hAnsi="Public Sans"/>
          <w:sz w:val="22"/>
          <w:szCs w:val="21"/>
        </w:rPr>
        <w:t xml:space="preserve"> Demand Funding Model (DFM) </w:t>
      </w:r>
      <w:r w:rsidR="00824F44">
        <w:rPr>
          <w:rFonts w:ascii="Public Sans" w:hAnsi="Public Sans"/>
          <w:sz w:val="22"/>
          <w:szCs w:val="21"/>
        </w:rPr>
        <w:t>has been</w:t>
      </w:r>
      <w:r>
        <w:rPr>
          <w:rFonts w:ascii="Public Sans" w:hAnsi="Public Sans"/>
          <w:sz w:val="22"/>
          <w:szCs w:val="21"/>
        </w:rPr>
        <w:t xml:space="preserve"> developed </w:t>
      </w:r>
      <w:r w:rsidR="00104EA4" w:rsidRPr="00104EA4">
        <w:rPr>
          <w:rFonts w:ascii="Public Sans" w:hAnsi="Public Sans"/>
          <w:sz w:val="22"/>
          <w:szCs w:val="21"/>
        </w:rPr>
        <w:t>to calculate the necessary funding required by the ADC to mitigate significant financial, community and reputational risks from the expected future growth.</w:t>
      </w:r>
      <w:r w:rsidR="00617547">
        <w:rPr>
          <w:rFonts w:ascii="Public Sans" w:hAnsi="Public Sans"/>
          <w:sz w:val="22"/>
          <w:szCs w:val="21"/>
        </w:rPr>
        <w:t xml:space="preserve"> A DFM was required as:</w:t>
      </w:r>
    </w:p>
    <w:p w:rsidR="00617547" w:rsidRPr="00617547" w:rsidRDefault="00617547" w:rsidP="00617547">
      <w:pPr>
        <w:pStyle w:val="ListParagraph0"/>
        <w:numPr>
          <w:ilvl w:val="0"/>
          <w:numId w:val="38"/>
        </w:numPr>
        <w:spacing w:after="0" w:line="240" w:lineRule="auto"/>
        <w:ind w:left="714" w:hanging="357"/>
        <w:textAlignment w:val="baseline"/>
        <w:rPr>
          <w:rFonts w:ascii="Public Sans" w:hAnsi="Public Sans"/>
          <w:sz w:val="22"/>
          <w:szCs w:val="21"/>
        </w:rPr>
      </w:pPr>
      <w:r>
        <w:rPr>
          <w:rFonts w:ascii="Public Sans" w:hAnsi="Public Sans"/>
          <w:sz w:val="22"/>
          <w:szCs w:val="21"/>
        </w:rPr>
        <w:t>d</w:t>
      </w:r>
      <w:r w:rsidRPr="00617547">
        <w:rPr>
          <w:rFonts w:ascii="Public Sans" w:hAnsi="Public Sans"/>
          <w:sz w:val="22"/>
          <w:szCs w:val="21"/>
        </w:rPr>
        <w:t xml:space="preserve">emand for ADC services has continued to increase at rate that was not originally costed </w:t>
      </w:r>
    </w:p>
    <w:p w:rsidR="00617547" w:rsidRPr="00617547" w:rsidRDefault="00617547" w:rsidP="007B6901">
      <w:pPr>
        <w:pStyle w:val="ListParagraph0"/>
        <w:numPr>
          <w:ilvl w:val="0"/>
          <w:numId w:val="38"/>
        </w:numPr>
        <w:spacing w:before="60" w:after="0" w:line="240" w:lineRule="auto"/>
        <w:ind w:left="714" w:hanging="357"/>
        <w:textAlignment w:val="baseline"/>
        <w:rPr>
          <w:rFonts w:ascii="Public Sans" w:hAnsi="Public Sans"/>
          <w:sz w:val="22"/>
          <w:szCs w:val="21"/>
        </w:rPr>
      </w:pPr>
      <w:r>
        <w:rPr>
          <w:rFonts w:ascii="Public Sans" w:eastAsia="+mn-ea" w:hAnsi="Public Sans" w:cs="+mn-cs"/>
          <w:kern w:val="24"/>
          <w:sz w:val="22"/>
          <w:szCs w:val="21"/>
        </w:rPr>
        <w:t xml:space="preserve">the </w:t>
      </w:r>
      <w:r w:rsidRPr="00617547">
        <w:rPr>
          <w:rFonts w:ascii="Public Sans" w:eastAsia="+mn-ea" w:hAnsi="Public Sans" w:cs="+mn-cs"/>
          <w:kern w:val="24"/>
          <w:sz w:val="22"/>
          <w:szCs w:val="21"/>
        </w:rPr>
        <w:t xml:space="preserve">ADC’s </w:t>
      </w:r>
      <w:r w:rsidRPr="00617547">
        <w:rPr>
          <w:rFonts w:ascii="Public Sans" w:eastAsia="+mn-ea" w:hAnsi="Public Sans" w:cs="+mn-cs"/>
          <w:bCs/>
          <w:kern w:val="24"/>
          <w:sz w:val="22"/>
          <w:szCs w:val="21"/>
        </w:rPr>
        <w:t>forward budget position is unsustainable</w:t>
      </w:r>
      <w:r w:rsidRPr="00617547">
        <w:rPr>
          <w:rFonts w:ascii="Public Sans" w:eastAsia="+mn-ea" w:hAnsi="Public Sans" w:cs="+mn-cs"/>
          <w:kern w:val="24"/>
          <w:sz w:val="22"/>
          <w:szCs w:val="21"/>
        </w:rPr>
        <w:t xml:space="preserve">, and is facing a fiscal cliff when time-limited </w:t>
      </w:r>
      <w:r>
        <w:rPr>
          <w:rFonts w:ascii="Public Sans" w:eastAsia="+mn-ea" w:hAnsi="Public Sans" w:cs="+mn-cs"/>
          <w:kern w:val="24"/>
          <w:sz w:val="22"/>
          <w:szCs w:val="21"/>
        </w:rPr>
        <w:t xml:space="preserve">DCJ grant </w:t>
      </w:r>
      <w:r w:rsidRPr="00617547">
        <w:rPr>
          <w:rFonts w:ascii="Public Sans" w:eastAsia="+mn-ea" w:hAnsi="Public Sans" w:cs="+mn-cs"/>
          <w:kern w:val="24"/>
          <w:sz w:val="22"/>
          <w:szCs w:val="21"/>
        </w:rPr>
        <w:t>funding e</w:t>
      </w:r>
      <w:r>
        <w:rPr>
          <w:rFonts w:ascii="Public Sans" w:eastAsia="+mn-ea" w:hAnsi="Public Sans" w:cs="+mn-cs"/>
          <w:kern w:val="24"/>
          <w:sz w:val="22"/>
          <w:szCs w:val="21"/>
        </w:rPr>
        <w:t>xpires at the end of 2022/23</w:t>
      </w:r>
    </w:p>
    <w:p w:rsidR="00617547" w:rsidRPr="00617547" w:rsidRDefault="00617547" w:rsidP="007B6901">
      <w:pPr>
        <w:pStyle w:val="ListParagraph0"/>
        <w:numPr>
          <w:ilvl w:val="0"/>
          <w:numId w:val="38"/>
        </w:numPr>
        <w:spacing w:before="60" w:after="0" w:line="240" w:lineRule="auto"/>
        <w:ind w:left="714" w:hanging="357"/>
        <w:textAlignment w:val="baseline"/>
        <w:rPr>
          <w:rFonts w:ascii="Public Sans" w:hAnsi="Public Sans"/>
          <w:sz w:val="22"/>
          <w:szCs w:val="21"/>
        </w:rPr>
      </w:pPr>
      <w:r>
        <w:rPr>
          <w:rFonts w:ascii="Public Sans" w:eastAsia="+mn-ea" w:hAnsi="Public Sans" w:cs="+mn-cs"/>
          <w:kern w:val="24"/>
          <w:sz w:val="22"/>
          <w:szCs w:val="21"/>
        </w:rPr>
        <w:t>e</w:t>
      </w:r>
      <w:r w:rsidRPr="00617547">
        <w:rPr>
          <w:rFonts w:ascii="Public Sans" w:eastAsia="+mn-ea" w:hAnsi="Public Sans" w:cs="+mn-cs"/>
          <w:kern w:val="24"/>
          <w:sz w:val="22"/>
          <w:szCs w:val="21"/>
        </w:rPr>
        <w:t xml:space="preserve">fficiencies achieved by ADC are not fully recognised by Treasury as the </w:t>
      </w:r>
      <w:r w:rsidRPr="00617547">
        <w:rPr>
          <w:rFonts w:ascii="Public Sans" w:eastAsia="+mn-ea" w:hAnsi="Public Sans" w:cs="+mn-cs"/>
          <w:bCs/>
          <w:kern w:val="24"/>
          <w:sz w:val="22"/>
          <w:szCs w:val="21"/>
        </w:rPr>
        <w:t>benefit is swamped by demand growth.</w:t>
      </w:r>
    </w:p>
    <w:p w:rsidR="00617547" w:rsidRDefault="00617547" w:rsidP="00104EA4">
      <w:pPr>
        <w:pStyle w:val="BodyText1"/>
        <w:spacing w:after="0"/>
        <w:jc w:val="left"/>
        <w:rPr>
          <w:rFonts w:ascii="Public Sans" w:hAnsi="Public Sans"/>
          <w:sz w:val="22"/>
          <w:szCs w:val="21"/>
        </w:rPr>
      </w:pPr>
    </w:p>
    <w:p w:rsidR="00104EA4" w:rsidRPr="00824F44" w:rsidRDefault="00104EA4" w:rsidP="00104EA4">
      <w:pPr>
        <w:spacing w:after="160" w:line="259" w:lineRule="auto"/>
        <w:contextualSpacing/>
        <w:rPr>
          <w:rFonts w:ascii="Public Sans" w:hAnsi="Public Sans" w:cs="Arial"/>
          <w:color w:val="000000"/>
          <w:sz w:val="22"/>
        </w:rPr>
      </w:pPr>
      <w:r w:rsidRPr="00824F44">
        <w:rPr>
          <w:rFonts w:ascii="Public Sans" w:hAnsi="Public Sans" w:cs="Arial"/>
          <w:color w:val="000000"/>
          <w:sz w:val="22"/>
        </w:rPr>
        <w:t xml:space="preserve">In 2021, the then Minister’s office confirmed its support for </w:t>
      </w:r>
      <w:r w:rsidR="00824F44">
        <w:rPr>
          <w:rFonts w:ascii="Public Sans" w:hAnsi="Public Sans" w:cs="Arial"/>
          <w:color w:val="000000"/>
          <w:sz w:val="22"/>
        </w:rPr>
        <w:t>the DFM</w:t>
      </w:r>
      <w:r w:rsidRPr="00824F44">
        <w:rPr>
          <w:rFonts w:ascii="Public Sans" w:hAnsi="Public Sans" w:cs="Arial"/>
          <w:color w:val="000000"/>
          <w:sz w:val="22"/>
        </w:rPr>
        <w:t xml:space="preserve"> for the forward budget</w:t>
      </w:r>
      <w:r w:rsidR="00824F44">
        <w:rPr>
          <w:rFonts w:ascii="Public Sans" w:hAnsi="Public Sans" w:cs="Arial"/>
          <w:color w:val="000000"/>
          <w:sz w:val="22"/>
        </w:rPr>
        <w:t>s</w:t>
      </w:r>
      <w:r w:rsidRPr="00824F44">
        <w:rPr>
          <w:rFonts w:ascii="Public Sans" w:hAnsi="Public Sans" w:cs="Arial"/>
          <w:color w:val="000000"/>
          <w:sz w:val="22"/>
        </w:rPr>
        <w:t xml:space="preserve"> of both the ADC and the </w:t>
      </w:r>
      <w:r w:rsidR="00824F44">
        <w:rPr>
          <w:rFonts w:ascii="Public Sans" w:hAnsi="Public Sans" w:cs="Arial"/>
          <w:color w:val="000000"/>
          <w:sz w:val="22"/>
        </w:rPr>
        <w:t>OCV</w:t>
      </w:r>
      <w:r w:rsidRPr="00824F44">
        <w:rPr>
          <w:rFonts w:ascii="Public Sans" w:hAnsi="Public Sans" w:cs="Arial"/>
          <w:color w:val="000000"/>
          <w:sz w:val="22"/>
        </w:rPr>
        <w:t xml:space="preserve"> scheme. Despite increasing reports and caseloads being dealt with by the ADC evidenced in th</w:t>
      </w:r>
      <w:r w:rsidR="00D60158">
        <w:rPr>
          <w:rFonts w:ascii="Public Sans" w:hAnsi="Public Sans" w:cs="Arial"/>
          <w:color w:val="000000"/>
          <w:sz w:val="22"/>
        </w:rPr>
        <w:t>e demand funding model</w:t>
      </w:r>
      <w:r w:rsidRPr="00824F44">
        <w:rPr>
          <w:rFonts w:ascii="Public Sans" w:hAnsi="Public Sans" w:cs="Arial"/>
          <w:color w:val="000000"/>
          <w:sz w:val="22"/>
        </w:rPr>
        <w:t xml:space="preserve">, no budget </w:t>
      </w:r>
      <w:r w:rsidRPr="00824F44">
        <w:rPr>
          <w:rFonts w:ascii="Public Sans" w:hAnsi="Public Sans" w:cs="Arial"/>
          <w:color w:val="000000"/>
          <w:sz w:val="22"/>
        </w:rPr>
        <w:lastRenderedPageBreak/>
        <w:t>enhancements were granted. Based on the demand funding model for the ADC’s operations (</w:t>
      </w:r>
      <w:r w:rsidRPr="003B0F78">
        <w:rPr>
          <w:rFonts w:ascii="Public Sans" w:hAnsi="Public Sans" w:cs="Arial"/>
          <w:color w:val="000000"/>
          <w:sz w:val="22"/>
        </w:rPr>
        <w:t>excluding</w:t>
      </w:r>
      <w:r w:rsidRPr="00824F44">
        <w:rPr>
          <w:rFonts w:ascii="Public Sans" w:hAnsi="Public Sans" w:cs="Arial"/>
          <w:color w:val="000000"/>
          <w:sz w:val="22"/>
        </w:rPr>
        <w:t xml:space="preserve"> the OCV scheme) there will be a budget shortfall for fo</w:t>
      </w:r>
      <w:r w:rsidR="003B57D1">
        <w:rPr>
          <w:rFonts w:ascii="Public Sans" w:hAnsi="Public Sans" w:cs="Arial"/>
          <w:color w:val="000000"/>
          <w:sz w:val="22"/>
        </w:rPr>
        <w:t>rward</w:t>
      </w:r>
      <w:r w:rsidRPr="00824F44">
        <w:rPr>
          <w:rFonts w:ascii="Public Sans" w:hAnsi="Public Sans" w:cs="Arial"/>
          <w:color w:val="000000"/>
          <w:sz w:val="22"/>
        </w:rPr>
        <w:t xml:space="preserve"> years:  </w:t>
      </w:r>
      <w:r w:rsidR="000E5680">
        <w:rPr>
          <w:rFonts w:ascii="Public Sans" w:hAnsi="Public Sans" w:cs="Arial"/>
          <w:color w:val="000000"/>
          <w:sz w:val="22"/>
        </w:rPr>
        <w:t>2023/</w:t>
      </w:r>
      <w:r w:rsidRPr="00824F44">
        <w:rPr>
          <w:rFonts w:ascii="Public Sans" w:hAnsi="Public Sans" w:cs="Arial"/>
          <w:color w:val="000000"/>
          <w:sz w:val="22"/>
        </w:rPr>
        <w:t>24</w:t>
      </w:r>
      <w:r w:rsidR="000E5680">
        <w:rPr>
          <w:rFonts w:ascii="Public Sans" w:hAnsi="Public Sans" w:cs="Arial"/>
          <w:color w:val="000000"/>
          <w:sz w:val="22"/>
        </w:rPr>
        <w:t xml:space="preserve"> –</w:t>
      </w:r>
      <w:r w:rsidRPr="00824F44">
        <w:rPr>
          <w:rFonts w:ascii="Public Sans" w:hAnsi="Public Sans" w:cs="Arial"/>
          <w:color w:val="000000"/>
          <w:sz w:val="22"/>
        </w:rPr>
        <w:t xml:space="preserve"> $2m, </w:t>
      </w:r>
      <w:r w:rsidR="000E5680">
        <w:rPr>
          <w:rFonts w:ascii="Public Sans" w:hAnsi="Public Sans" w:cs="Arial"/>
          <w:color w:val="000000"/>
          <w:sz w:val="22"/>
        </w:rPr>
        <w:t>2024/2</w:t>
      </w:r>
      <w:r w:rsidRPr="00824F44">
        <w:rPr>
          <w:rFonts w:ascii="Public Sans" w:hAnsi="Public Sans" w:cs="Arial"/>
          <w:color w:val="000000"/>
          <w:sz w:val="22"/>
        </w:rPr>
        <w:t xml:space="preserve">5 </w:t>
      </w:r>
      <w:r w:rsidR="000E5680">
        <w:rPr>
          <w:rFonts w:ascii="Public Sans" w:hAnsi="Public Sans" w:cs="Arial"/>
          <w:color w:val="000000"/>
          <w:sz w:val="22"/>
        </w:rPr>
        <w:t>–</w:t>
      </w:r>
      <w:r w:rsidRPr="00824F44">
        <w:rPr>
          <w:rFonts w:ascii="Public Sans" w:hAnsi="Public Sans" w:cs="Arial"/>
          <w:color w:val="000000"/>
          <w:sz w:val="22"/>
        </w:rPr>
        <w:t xml:space="preserve"> $2.3m, </w:t>
      </w:r>
      <w:r w:rsidR="000E5680">
        <w:rPr>
          <w:rFonts w:ascii="Public Sans" w:hAnsi="Public Sans" w:cs="Arial"/>
          <w:color w:val="000000"/>
          <w:sz w:val="22"/>
        </w:rPr>
        <w:t>2025/</w:t>
      </w:r>
      <w:r w:rsidRPr="00824F44">
        <w:rPr>
          <w:rFonts w:ascii="Public Sans" w:hAnsi="Public Sans" w:cs="Arial"/>
          <w:color w:val="000000"/>
          <w:sz w:val="22"/>
        </w:rPr>
        <w:t xml:space="preserve">26 </w:t>
      </w:r>
      <w:r w:rsidR="000E5680">
        <w:rPr>
          <w:rFonts w:ascii="Public Sans" w:hAnsi="Public Sans" w:cs="Arial"/>
          <w:color w:val="000000"/>
          <w:sz w:val="22"/>
        </w:rPr>
        <w:t>–</w:t>
      </w:r>
      <w:r w:rsidRPr="00824F44">
        <w:rPr>
          <w:rFonts w:ascii="Public Sans" w:hAnsi="Public Sans" w:cs="Arial"/>
          <w:color w:val="000000"/>
          <w:sz w:val="22"/>
        </w:rPr>
        <w:t xml:space="preserve"> $2.6m. </w:t>
      </w:r>
    </w:p>
    <w:p w:rsidR="00104EA4" w:rsidRPr="000E5680" w:rsidRDefault="00104EA4" w:rsidP="000E5680">
      <w:pPr>
        <w:spacing w:line="252" w:lineRule="auto"/>
        <w:contextualSpacing/>
        <w:rPr>
          <w:rFonts w:ascii="Public Sans" w:hAnsi="Public Sans" w:cs="Arial"/>
          <w:color w:val="000000"/>
          <w:sz w:val="22"/>
          <w:szCs w:val="24"/>
        </w:rPr>
      </w:pPr>
    </w:p>
    <w:p w:rsidR="00104EA4" w:rsidRPr="000E5680" w:rsidRDefault="00104EA4" w:rsidP="00104EA4">
      <w:pPr>
        <w:spacing w:after="160" w:line="259" w:lineRule="auto"/>
        <w:contextualSpacing/>
        <w:rPr>
          <w:rFonts w:ascii="Public Sans" w:hAnsi="Public Sans" w:cs="Arial"/>
          <w:color w:val="000000"/>
          <w:sz w:val="22"/>
        </w:rPr>
      </w:pPr>
      <w:r w:rsidRPr="000E5680">
        <w:rPr>
          <w:rFonts w:ascii="Public Sans" w:hAnsi="Public Sans" w:cs="Arial"/>
          <w:color w:val="000000"/>
          <w:sz w:val="22"/>
        </w:rPr>
        <w:t>The ADC will be unable to fulfil its statutory obligations from 1 July 2023 without incurring sustained and increasing deficits. The ADC’s ability to safeguard vulnerable adults will be s</w:t>
      </w:r>
      <w:r w:rsidR="003B57D1">
        <w:rPr>
          <w:rFonts w:ascii="Public Sans" w:hAnsi="Public Sans" w:cs="Arial"/>
          <w:color w:val="000000"/>
          <w:sz w:val="22"/>
        </w:rPr>
        <w:t>ignificantly</w:t>
      </w:r>
      <w:r w:rsidRPr="000E5680">
        <w:rPr>
          <w:rFonts w:ascii="Public Sans" w:hAnsi="Public Sans" w:cs="Arial"/>
          <w:color w:val="000000"/>
          <w:sz w:val="22"/>
        </w:rPr>
        <w:t xml:space="preserve"> compromised.</w:t>
      </w:r>
    </w:p>
    <w:p w:rsidR="003B57D1" w:rsidRDefault="003B57D1" w:rsidP="003B57D1">
      <w:pPr>
        <w:spacing w:line="252" w:lineRule="auto"/>
        <w:contextualSpacing/>
        <w:rPr>
          <w:rFonts w:ascii="Public Sans" w:hAnsi="Public Sans" w:cs="Arial"/>
          <w:color w:val="000000"/>
          <w:sz w:val="22"/>
          <w:szCs w:val="24"/>
        </w:rPr>
      </w:pPr>
    </w:p>
    <w:p w:rsidR="003B57D1" w:rsidRPr="003B57D1" w:rsidRDefault="003B57D1" w:rsidP="00E10E86">
      <w:pPr>
        <w:pStyle w:val="Heading5"/>
        <w:spacing w:before="0"/>
        <w:rPr>
          <w:rFonts w:ascii="Public Sans" w:hAnsi="Public Sans"/>
          <w:b/>
          <w:color w:val="auto"/>
          <w:sz w:val="22"/>
        </w:rPr>
      </w:pPr>
      <w:r w:rsidRPr="003B57D1">
        <w:rPr>
          <w:rFonts w:ascii="Public Sans" w:hAnsi="Public Sans"/>
          <w:b/>
          <w:color w:val="auto"/>
          <w:sz w:val="22"/>
        </w:rPr>
        <w:t>OCV scheme</w:t>
      </w:r>
    </w:p>
    <w:p w:rsidR="00F01104" w:rsidRPr="00D10D87" w:rsidRDefault="00F01104" w:rsidP="00F01104">
      <w:pPr>
        <w:rPr>
          <w:rFonts w:ascii="Public Sans" w:hAnsi="Public Sans"/>
          <w:sz w:val="22"/>
          <w:szCs w:val="21"/>
        </w:rPr>
      </w:pPr>
      <w:r w:rsidRPr="00D10D87">
        <w:rPr>
          <w:rFonts w:ascii="Public Sans" w:hAnsi="Public Sans"/>
          <w:sz w:val="22"/>
          <w:szCs w:val="21"/>
        </w:rPr>
        <w:t xml:space="preserve">The OCV scheme has urgent sustainability problems that need to be addressed. In the last financial year, the recurrent OCV scheme budget was at its lowest since 2012/13, and restricted the allocation of OCVs to </w:t>
      </w:r>
      <w:r w:rsidR="00693521">
        <w:rPr>
          <w:rFonts w:ascii="Public Sans" w:hAnsi="Public Sans"/>
          <w:sz w:val="22"/>
          <w:szCs w:val="21"/>
        </w:rPr>
        <w:t>49</w:t>
      </w:r>
      <w:r w:rsidR="000866C5">
        <w:rPr>
          <w:rFonts w:ascii="Public Sans" w:hAnsi="Public Sans"/>
          <w:sz w:val="22"/>
          <w:szCs w:val="21"/>
        </w:rPr>
        <w:t>%</w:t>
      </w:r>
      <w:r w:rsidR="00693521">
        <w:rPr>
          <w:rFonts w:ascii="Public Sans" w:hAnsi="Public Sans"/>
          <w:sz w:val="22"/>
          <w:szCs w:val="21"/>
        </w:rPr>
        <w:t xml:space="preserve"> </w:t>
      </w:r>
      <w:r w:rsidRPr="00D10D87">
        <w:rPr>
          <w:rFonts w:ascii="Public Sans" w:hAnsi="Public Sans"/>
          <w:sz w:val="22"/>
          <w:szCs w:val="21"/>
        </w:rPr>
        <w:t>of all visitable services, instead of the minimum responsible allocation of 80</w:t>
      </w:r>
      <w:r w:rsidR="000866C5">
        <w:rPr>
          <w:rFonts w:ascii="Public Sans" w:hAnsi="Public Sans"/>
          <w:sz w:val="22"/>
          <w:szCs w:val="21"/>
        </w:rPr>
        <w:t>%</w:t>
      </w:r>
      <w:r w:rsidRPr="00D10D87">
        <w:rPr>
          <w:rFonts w:ascii="Public Sans" w:hAnsi="Public Sans"/>
          <w:sz w:val="22"/>
          <w:szCs w:val="21"/>
        </w:rPr>
        <w:t xml:space="preserve"> of visitable services (comprising 100</w:t>
      </w:r>
      <w:r w:rsidR="000866C5">
        <w:rPr>
          <w:rFonts w:ascii="Public Sans" w:hAnsi="Public Sans"/>
          <w:sz w:val="22"/>
          <w:szCs w:val="21"/>
        </w:rPr>
        <w:t>%</w:t>
      </w:r>
      <w:r w:rsidRPr="00D10D87">
        <w:rPr>
          <w:rFonts w:ascii="Public Sans" w:hAnsi="Public Sans"/>
          <w:sz w:val="22"/>
          <w:szCs w:val="21"/>
        </w:rPr>
        <w:t xml:space="preserve"> of visitable </w:t>
      </w:r>
      <w:r w:rsidR="000866C5">
        <w:rPr>
          <w:rFonts w:ascii="Public Sans" w:hAnsi="Public Sans"/>
          <w:sz w:val="22"/>
          <w:szCs w:val="21"/>
        </w:rPr>
        <w:t>out-of-home care (</w:t>
      </w:r>
      <w:r w:rsidRPr="00D10D87">
        <w:rPr>
          <w:rFonts w:ascii="Public Sans" w:hAnsi="Public Sans"/>
          <w:sz w:val="22"/>
          <w:szCs w:val="21"/>
        </w:rPr>
        <w:t>OOHC</w:t>
      </w:r>
      <w:r w:rsidR="000866C5">
        <w:rPr>
          <w:rFonts w:ascii="Public Sans" w:hAnsi="Public Sans"/>
          <w:sz w:val="22"/>
          <w:szCs w:val="21"/>
        </w:rPr>
        <w:t>)</w:t>
      </w:r>
      <w:r w:rsidRPr="00D10D87">
        <w:rPr>
          <w:rFonts w:ascii="Public Sans" w:hAnsi="Public Sans"/>
          <w:sz w:val="22"/>
          <w:szCs w:val="21"/>
        </w:rPr>
        <w:t xml:space="preserve"> services and assisted boarding houses, and 80</w:t>
      </w:r>
      <w:r w:rsidR="000866C5">
        <w:rPr>
          <w:rFonts w:ascii="Public Sans" w:hAnsi="Public Sans"/>
          <w:sz w:val="22"/>
          <w:szCs w:val="21"/>
        </w:rPr>
        <w:t xml:space="preserve">% </w:t>
      </w:r>
      <w:r w:rsidRPr="00D10D87">
        <w:rPr>
          <w:rFonts w:ascii="Public Sans" w:hAnsi="Public Sans"/>
          <w:sz w:val="22"/>
          <w:szCs w:val="21"/>
        </w:rPr>
        <w:t xml:space="preserve">of disability supported accommodation services). The </w:t>
      </w:r>
      <w:r w:rsidR="00693521">
        <w:rPr>
          <w:rFonts w:ascii="Public Sans" w:hAnsi="Public Sans"/>
          <w:sz w:val="22"/>
          <w:szCs w:val="21"/>
        </w:rPr>
        <w:t>49</w:t>
      </w:r>
      <w:r w:rsidR="000866C5">
        <w:rPr>
          <w:rFonts w:ascii="Public Sans" w:hAnsi="Public Sans"/>
          <w:sz w:val="22"/>
          <w:szCs w:val="21"/>
        </w:rPr>
        <w:t>%</w:t>
      </w:r>
      <w:r w:rsidRPr="00D10D87">
        <w:rPr>
          <w:rFonts w:ascii="Public Sans" w:hAnsi="Public Sans"/>
          <w:sz w:val="22"/>
          <w:szCs w:val="21"/>
        </w:rPr>
        <w:t xml:space="preserve"> allocation of visitable services in 202</w:t>
      </w:r>
      <w:r w:rsidR="00693521">
        <w:rPr>
          <w:rFonts w:ascii="Public Sans" w:hAnsi="Public Sans"/>
          <w:sz w:val="22"/>
          <w:szCs w:val="21"/>
        </w:rPr>
        <w:t>1</w:t>
      </w:r>
      <w:r w:rsidRPr="00D10D87">
        <w:rPr>
          <w:rFonts w:ascii="Public Sans" w:hAnsi="Public Sans"/>
          <w:sz w:val="22"/>
          <w:szCs w:val="21"/>
        </w:rPr>
        <w:t>/2</w:t>
      </w:r>
      <w:r w:rsidR="00693521">
        <w:rPr>
          <w:rFonts w:ascii="Public Sans" w:hAnsi="Public Sans"/>
          <w:sz w:val="22"/>
          <w:szCs w:val="21"/>
        </w:rPr>
        <w:t>2</w:t>
      </w:r>
      <w:r w:rsidRPr="00D10D87">
        <w:rPr>
          <w:rFonts w:ascii="Public Sans" w:hAnsi="Public Sans"/>
          <w:sz w:val="22"/>
          <w:szCs w:val="21"/>
        </w:rPr>
        <w:t xml:space="preserve"> represented the lowest allocation rate for at least 1</w:t>
      </w:r>
      <w:r w:rsidR="00693521">
        <w:rPr>
          <w:rFonts w:ascii="Public Sans" w:hAnsi="Public Sans"/>
          <w:sz w:val="22"/>
          <w:szCs w:val="21"/>
        </w:rPr>
        <w:t>2</w:t>
      </w:r>
      <w:r w:rsidRPr="00D10D87">
        <w:rPr>
          <w:rFonts w:ascii="Public Sans" w:hAnsi="Public Sans"/>
          <w:sz w:val="22"/>
          <w:szCs w:val="21"/>
        </w:rPr>
        <w:t xml:space="preserve"> years, and involved the allocation of </w:t>
      </w:r>
      <w:r w:rsidR="00CA52B7">
        <w:rPr>
          <w:rFonts w:ascii="Public Sans" w:hAnsi="Public Sans"/>
          <w:sz w:val="22"/>
          <w:szCs w:val="21"/>
        </w:rPr>
        <w:t>70</w:t>
      </w:r>
      <w:r w:rsidR="000866C5">
        <w:rPr>
          <w:rFonts w:ascii="Public Sans" w:hAnsi="Public Sans"/>
          <w:sz w:val="22"/>
          <w:szCs w:val="21"/>
        </w:rPr>
        <w:t>%</w:t>
      </w:r>
      <w:r w:rsidRPr="00D10D87">
        <w:rPr>
          <w:rFonts w:ascii="Public Sans" w:hAnsi="Public Sans"/>
          <w:sz w:val="22"/>
          <w:szCs w:val="21"/>
        </w:rPr>
        <w:t xml:space="preserve"> of residential OOHC services, and </w:t>
      </w:r>
      <w:r w:rsidR="00CA52B7">
        <w:rPr>
          <w:rFonts w:ascii="Public Sans" w:hAnsi="Public Sans"/>
          <w:sz w:val="22"/>
          <w:szCs w:val="21"/>
        </w:rPr>
        <w:t>49</w:t>
      </w:r>
      <w:r w:rsidR="000866C5">
        <w:rPr>
          <w:rFonts w:ascii="Public Sans" w:hAnsi="Public Sans"/>
          <w:sz w:val="22"/>
          <w:szCs w:val="21"/>
        </w:rPr>
        <w:t>%</w:t>
      </w:r>
      <w:r w:rsidRPr="00D10D87">
        <w:rPr>
          <w:rFonts w:ascii="Public Sans" w:hAnsi="Public Sans"/>
          <w:sz w:val="22"/>
          <w:szCs w:val="21"/>
        </w:rPr>
        <w:t xml:space="preserve"> of disability supported accommodation services. </w:t>
      </w:r>
    </w:p>
    <w:p w:rsidR="00F01104" w:rsidRDefault="00F01104" w:rsidP="00F01104">
      <w:pPr>
        <w:rPr>
          <w:rFonts w:ascii="Public Sans" w:hAnsi="Public Sans"/>
          <w:sz w:val="22"/>
          <w:szCs w:val="21"/>
        </w:rPr>
      </w:pPr>
    </w:p>
    <w:p w:rsidR="00F01104" w:rsidRDefault="00F01104" w:rsidP="00F01104">
      <w:pPr>
        <w:rPr>
          <w:rFonts w:ascii="Public Sans" w:hAnsi="Public Sans"/>
          <w:sz w:val="22"/>
          <w:szCs w:val="21"/>
        </w:rPr>
      </w:pPr>
      <w:r w:rsidRPr="00D10D87">
        <w:rPr>
          <w:rFonts w:ascii="Public Sans" w:hAnsi="Public Sans"/>
          <w:sz w:val="22"/>
          <w:szCs w:val="21"/>
        </w:rPr>
        <w:t xml:space="preserve">The continuing reduced service allocation has been due to the combination of </w:t>
      </w:r>
      <w:r w:rsidR="00E60CF8">
        <w:rPr>
          <w:rFonts w:ascii="Public Sans" w:hAnsi="Public Sans"/>
          <w:sz w:val="22"/>
          <w:szCs w:val="21"/>
        </w:rPr>
        <w:t>a</w:t>
      </w:r>
      <w:r w:rsidRPr="00D10D87">
        <w:rPr>
          <w:rFonts w:ascii="Public Sans" w:hAnsi="Public Sans"/>
          <w:sz w:val="22"/>
          <w:szCs w:val="21"/>
        </w:rPr>
        <w:t xml:space="preserve"> </w:t>
      </w:r>
      <w:r w:rsidR="00E60CF8">
        <w:rPr>
          <w:rFonts w:ascii="Public Sans" w:hAnsi="Public Sans"/>
          <w:sz w:val="22"/>
          <w:szCs w:val="21"/>
        </w:rPr>
        <w:t xml:space="preserve">reduction to the recurrent </w:t>
      </w:r>
      <w:r w:rsidRPr="00D10D87">
        <w:rPr>
          <w:rFonts w:ascii="Public Sans" w:hAnsi="Public Sans"/>
          <w:sz w:val="22"/>
          <w:szCs w:val="21"/>
        </w:rPr>
        <w:t>budget as a result of efficiency dividends, together with an increasing and continuing growth in the number of visitable services across NSW</w:t>
      </w:r>
      <w:r w:rsidR="000866C5">
        <w:rPr>
          <w:rFonts w:ascii="Public Sans" w:hAnsi="Public Sans"/>
          <w:sz w:val="22"/>
          <w:szCs w:val="21"/>
        </w:rPr>
        <w:t>:</w:t>
      </w:r>
      <w:r w:rsidRPr="00D10D87">
        <w:rPr>
          <w:rFonts w:ascii="Public Sans" w:hAnsi="Public Sans"/>
          <w:sz w:val="22"/>
          <w:szCs w:val="21"/>
        </w:rPr>
        <w:t xml:space="preserve"> </w:t>
      </w:r>
    </w:p>
    <w:p w:rsidR="00622D13" w:rsidRPr="000866C5" w:rsidRDefault="00622D13" w:rsidP="000866C5">
      <w:pPr>
        <w:pStyle w:val="ListParagraph0"/>
        <w:numPr>
          <w:ilvl w:val="0"/>
          <w:numId w:val="35"/>
        </w:numPr>
        <w:spacing w:after="0" w:line="240" w:lineRule="auto"/>
        <w:ind w:left="714" w:hanging="357"/>
        <w:rPr>
          <w:rFonts w:ascii="Public Sans" w:eastAsia="Calibri" w:hAnsi="Public Sans" w:cs="Arial"/>
          <w:b/>
          <w:sz w:val="22"/>
          <w:szCs w:val="21"/>
        </w:rPr>
      </w:pPr>
      <w:r w:rsidRPr="000866C5">
        <w:rPr>
          <w:rFonts w:ascii="Public Sans" w:hAnsi="Public Sans"/>
          <w:sz w:val="22"/>
          <w:szCs w:val="21"/>
        </w:rPr>
        <w:t xml:space="preserve">The OCV scheme was transferred from the </w:t>
      </w:r>
      <w:r w:rsidR="007C558C">
        <w:rPr>
          <w:rFonts w:ascii="Public Sans" w:hAnsi="Public Sans"/>
          <w:sz w:val="22"/>
          <w:szCs w:val="21"/>
        </w:rPr>
        <w:t xml:space="preserve">NSW </w:t>
      </w:r>
      <w:r w:rsidRPr="000866C5">
        <w:rPr>
          <w:rFonts w:ascii="Public Sans" w:hAnsi="Public Sans"/>
          <w:sz w:val="22"/>
          <w:szCs w:val="21"/>
        </w:rPr>
        <w:t>Ombudsman’s office to the ADC in 2019/20</w:t>
      </w:r>
      <w:r w:rsidR="007C558C">
        <w:rPr>
          <w:rFonts w:ascii="Public Sans" w:hAnsi="Public Sans"/>
          <w:sz w:val="22"/>
          <w:szCs w:val="21"/>
        </w:rPr>
        <w:t xml:space="preserve"> with a budget deficit. The </w:t>
      </w:r>
      <w:r w:rsidRPr="000866C5">
        <w:rPr>
          <w:rFonts w:ascii="Public Sans" w:hAnsi="Public Sans"/>
          <w:sz w:val="22"/>
          <w:szCs w:val="21"/>
        </w:rPr>
        <w:t xml:space="preserve">Ombudsman’s office applied efficiency dividends for 2019/20 and forward years across all of its program areas, including the frontline OCV budget. The NSW Ombudsman passed on budget savings in perpetuity, which significantly reduced the OCV scheme budget. </w:t>
      </w:r>
    </w:p>
    <w:p w:rsidR="00693521" w:rsidRPr="000866C5" w:rsidRDefault="00693521" w:rsidP="000866C5">
      <w:pPr>
        <w:pStyle w:val="ListParagraph0"/>
        <w:numPr>
          <w:ilvl w:val="0"/>
          <w:numId w:val="35"/>
        </w:numPr>
        <w:spacing w:after="0" w:line="240" w:lineRule="auto"/>
        <w:ind w:left="714" w:hanging="357"/>
        <w:rPr>
          <w:rFonts w:ascii="Public Sans" w:hAnsi="Public Sans"/>
          <w:sz w:val="24"/>
          <w:szCs w:val="21"/>
        </w:rPr>
      </w:pPr>
      <w:r w:rsidRPr="000866C5">
        <w:rPr>
          <w:rFonts w:ascii="Public Sans" w:hAnsi="Public Sans"/>
          <w:sz w:val="22"/>
        </w:rPr>
        <w:t>Since 2012</w:t>
      </w:r>
      <w:r w:rsidR="007C558C">
        <w:rPr>
          <w:rFonts w:ascii="Public Sans" w:hAnsi="Public Sans"/>
          <w:sz w:val="22"/>
        </w:rPr>
        <w:t>/</w:t>
      </w:r>
      <w:r w:rsidRPr="000866C5">
        <w:rPr>
          <w:rFonts w:ascii="Public Sans" w:hAnsi="Public Sans"/>
          <w:sz w:val="22"/>
        </w:rPr>
        <w:t>13, there has been a 68</w:t>
      </w:r>
      <w:r w:rsidR="000866C5" w:rsidRPr="000866C5">
        <w:rPr>
          <w:rFonts w:ascii="Public Sans" w:hAnsi="Public Sans"/>
          <w:sz w:val="22"/>
        </w:rPr>
        <w:t>%</w:t>
      </w:r>
      <w:r w:rsidRPr="000866C5">
        <w:rPr>
          <w:rFonts w:ascii="Public Sans" w:hAnsi="Public Sans"/>
          <w:sz w:val="22"/>
        </w:rPr>
        <w:t xml:space="preserve"> increase in the number of visitable services in NSW – increasing from 1,424 visitable services in 2012</w:t>
      </w:r>
      <w:r w:rsidR="00F81E0A" w:rsidRPr="000866C5">
        <w:rPr>
          <w:rFonts w:ascii="Public Sans" w:hAnsi="Public Sans"/>
          <w:sz w:val="22"/>
        </w:rPr>
        <w:t>/</w:t>
      </w:r>
      <w:r w:rsidRPr="000866C5">
        <w:rPr>
          <w:rFonts w:ascii="Public Sans" w:hAnsi="Public Sans"/>
          <w:sz w:val="22"/>
        </w:rPr>
        <w:t xml:space="preserve">13 to 2,394 visitable services </w:t>
      </w:r>
      <w:r w:rsidR="00216A96" w:rsidRPr="000866C5">
        <w:rPr>
          <w:rFonts w:ascii="Public Sans" w:hAnsi="Public Sans"/>
          <w:sz w:val="22"/>
        </w:rPr>
        <w:t>in 2021/22</w:t>
      </w:r>
      <w:r w:rsidRPr="000866C5">
        <w:rPr>
          <w:rFonts w:ascii="Public Sans" w:hAnsi="Public Sans"/>
          <w:sz w:val="22"/>
        </w:rPr>
        <w:t>. On average, the number of visitable services has increased by 5</w:t>
      </w:r>
      <w:r w:rsidR="000866C5" w:rsidRPr="000866C5">
        <w:rPr>
          <w:rFonts w:ascii="Public Sans" w:hAnsi="Public Sans"/>
          <w:sz w:val="22"/>
        </w:rPr>
        <w:t>%</w:t>
      </w:r>
      <w:r w:rsidRPr="000866C5">
        <w:rPr>
          <w:rFonts w:ascii="Public Sans" w:hAnsi="Public Sans"/>
          <w:sz w:val="22"/>
        </w:rPr>
        <w:t xml:space="preserve">, mainly associated with a steady increase in the number of disability supported accommodation locations, as well as a smaller increase in residential OOHC locations. </w:t>
      </w:r>
    </w:p>
    <w:p w:rsidR="00693521" w:rsidRPr="00D10D87" w:rsidRDefault="00693521" w:rsidP="00F01104">
      <w:pPr>
        <w:rPr>
          <w:rFonts w:ascii="Public Sans" w:hAnsi="Public Sans"/>
          <w:sz w:val="22"/>
          <w:szCs w:val="21"/>
        </w:rPr>
      </w:pPr>
    </w:p>
    <w:p w:rsidR="00F01104" w:rsidRPr="00D10D87" w:rsidRDefault="00622D13" w:rsidP="00F01104">
      <w:pPr>
        <w:rPr>
          <w:rFonts w:ascii="Public Sans" w:hAnsi="Public Sans"/>
          <w:sz w:val="22"/>
          <w:szCs w:val="21"/>
        </w:rPr>
      </w:pPr>
      <w:r>
        <w:rPr>
          <w:rFonts w:ascii="Public Sans" w:eastAsia="Times New Roman" w:hAnsi="Public Sans"/>
          <w:sz w:val="22"/>
          <w:szCs w:val="21"/>
        </w:rPr>
        <w:t xml:space="preserve">In </w:t>
      </w:r>
      <w:r w:rsidR="00F01104" w:rsidRPr="00D10D87">
        <w:rPr>
          <w:rFonts w:ascii="Public Sans" w:eastAsia="Times New Roman" w:hAnsi="Public Sans"/>
          <w:sz w:val="22"/>
          <w:szCs w:val="21"/>
        </w:rPr>
        <w:t xml:space="preserve">November 2021, the </w:t>
      </w:r>
      <w:r>
        <w:rPr>
          <w:rFonts w:ascii="Public Sans" w:eastAsia="Times New Roman" w:hAnsi="Public Sans"/>
          <w:sz w:val="22"/>
          <w:szCs w:val="21"/>
        </w:rPr>
        <w:t xml:space="preserve">then </w:t>
      </w:r>
      <w:r w:rsidR="00F01104" w:rsidRPr="00D10D87">
        <w:rPr>
          <w:rFonts w:ascii="Public Sans" w:hAnsi="Public Sans"/>
          <w:sz w:val="22"/>
          <w:szCs w:val="21"/>
        </w:rPr>
        <w:t xml:space="preserve">Minister wrote to the ADC confirming support for </w:t>
      </w:r>
      <w:r w:rsidR="00F01104" w:rsidRPr="00622D13">
        <w:rPr>
          <w:rFonts w:ascii="Public Sans" w:hAnsi="Public Sans"/>
          <w:sz w:val="22"/>
          <w:szCs w:val="21"/>
        </w:rPr>
        <w:t>an OCV remuneration increase, following</w:t>
      </w:r>
      <w:r w:rsidR="00F01104" w:rsidRPr="00D10D87">
        <w:rPr>
          <w:rFonts w:ascii="Public Sans" w:hAnsi="Public Sans"/>
          <w:sz w:val="22"/>
          <w:szCs w:val="21"/>
        </w:rPr>
        <w:t xml:space="preserve"> a review of the OCV scheme, to reflect contemporary practice of a seven-hour work day applied to the published daily rate. This reflect</w:t>
      </w:r>
      <w:r w:rsidR="007151AE">
        <w:rPr>
          <w:rFonts w:ascii="Public Sans" w:hAnsi="Public Sans"/>
          <w:sz w:val="22"/>
          <w:szCs w:val="21"/>
        </w:rPr>
        <w:t>ed</w:t>
      </w:r>
      <w:r w:rsidR="00F01104" w:rsidRPr="00D10D87">
        <w:rPr>
          <w:rFonts w:ascii="Public Sans" w:hAnsi="Public Sans"/>
          <w:sz w:val="22"/>
          <w:szCs w:val="21"/>
        </w:rPr>
        <w:t xml:space="preserve"> a new hourly rate of $34.14 (a 14.3</w:t>
      </w:r>
      <w:r w:rsidR="000866C5">
        <w:rPr>
          <w:rFonts w:ascii="Public Sans" w:hAnsi="Public Sans"/>
          <w:sz w:val="22"/>
          <w:szCs w:val="21"/>
        </w:rPr>
        <w:t>%</w:t>
      </w:r>
      <w:r w:rsidR="00F01104" w:rsidRPr="00D10D87">
        <w:rPr>
          <w:rFonts w:ascii="Public Sans" w:hAnsi="Public Sans"/>
          <w:sz w:val="22"/>
          <w:szCs w:val="21"/>
        </w:rPr>
        <w:t xml:space="preserve"> increase in the hourly rate). </w:t>
      </w:r>
      <w:r w:rsidR="00843F87">
        <w:rPr>
          <w:rFonts w:ascii="Public Sans" w:hAnsi="Public Sans"/>
          <w:sz w:val="22"/>
          <w:szCs w:val="21"/>
        </w:rPr>
        <w:t xml:space="preserve">A one-off grant of $400k was provided by DCJ in mid-2021/22 to support the increased remuneration and increase visiting. </w:t>
      </w:r>
      <w:r w:rsidR="00F01104" w:rsidRPr="00D10D87">
        <w:rPr>
          <w:rFonts w:ascii="Public Sans" w:hAnsi="Public Sans"/>
          <w:sz w:val="22"/>
          <w:szCs w:val="21"/>
        </w:rPr>
        <w:t>The OCV scheme has not received an increase in its recurrent budget to support the increased remuneration</w:t>
      </w:r>
      <w:r w:rsidR="00843F87">
        <w:rPr>
          <w:rFonts w:ascii="Public Sans" w:hAnsi="Public Sans"/>
          <w:sz w:val="22"/>
          <w:szCs w:val="21"/>
        </w:rPr>
        <w:t xml:space="preserve"> or growth in demand</w:t>
      </w:r>
      <w:r w:rsidR="00F01104" w:rsidRPr="00D10D87">
        <w:rPr>
          <w:rFonts w:ascii="Public Sans" w:hAnsi="Public Sans"/>
          <w:sz w:val="22"/>
          <w:szCs w:val="21"/>
        </w:rPr>
        <w:t>.</w:t>
      </w:r>
    </w:p>
    <w:p w:rsidR="003650B9" w:rsidRDefault="003650B9" w:rsidP="003650B9">
      <w:pPr>
        <w:spacing w:line="259" w:lineRule="auto"/>
        <w:contextualSpacing/>
        <w:rPr>
          <w:rFonts w:ascii="Public Sans" w:hAnsi="Public Sans" w:cs="Arial"/>
          <w:sz w:val="24"/>
        </w:rPr>
      </w:pPr>
    </w:p>
    <w:p w:rsidR="007151AE" w:rsidRPr="006C1C10" w:rsidRDefault="007151AE" w:rsidP="007151AE">
      <w:pPr>
        <w:textAlignment w:val="baseline"/>
        <w:rPr>
          <w:rFonts w:ascii="Public Sans" w:eastAsia="Times New Roman" w:hAnsi="Public Sans" w:cs="Times New Roman"/>
          <w:sz w:val="22"/>
          <w:szCs w:val="21"/>
          <w:lang w:eastAsia="en-AU"/>
        </w:rPr>
      </w:pPr>
      <w:r w:rsidRPr="006C1C10">
        <w:rPr>
          <w:rFonts w:ascii="Public Sans" w:hAnsi="Public Sans"/>
          <w:sz w:val="22"/>
          <w:szCs w:val="21"/>
        </w:rPr>
        <w:t>The ADC’s Exp</w:t>
      </w:r>
      <w:r>
        <w:rPr>
          <w:rFonts w:ascii="Public Sans" w:hAnsi="Public Sans"/>
          <w:sz w:val="22"/>
          <w:szCs w:val="21"/>
        </w:rPr>
        <w:t xml:space="preserve">enditure Review Committee </w:t>
      </w:r>
      <w:r w:rsidRPr="006C1C10">
        <w:rPr>
          <w:rFonts w:ascii="Public Sans" w:hAnsi="Public Sans"/>
          <w:sz w:val="22"/>
          <w:szCs w:val="21"/>
        </w:rPr>
        <w:t>budget bids (on behalf of the OCV scheme) have been unsuccessful</w:t>
      </w:r>
      <w:r>
        <w:rPr>
          <w:rFonts w:ascii="Public Sans" w:hAnsi="Public Sans"/>
          <w:sz w:val="22"/>
          <w:szCs w:val="21"/>
        </w:rPr>
        <w:t xml:space="preserve"> to date. </w:t>
      </w:r>
      <w:r w:rsidRPr="006C1C10">
        <w:rPr>
          <w:rFonts w:ascii="Public Sans" w:hAnsi="Public Sans"/>
          <w:sz w:val="22"/>
          <w:szCs w:val="21"/>
        </w:rPr>
        <w:t>A D</w:t>
      </w:r>
      <w:r>
        <w:rPr>
          <w:rFonts w:ascii="Public Sans" w:hAnsi="Public Sans"/>
          <w:sz w:val="22"/>
          <w:szCs w:val="21"/>
        </w:rPr>
        <w:t xml:space="preserve">emand </w:t>
      </w:r>
      <w:r w:rsidRPr="006C1C10">
        <w:rPr>
          <w:rFonts w:ascii="Public Sans" w:hAnsi="Public Sans"/>
          <w:sz w:val="22"/>
          <w:szCs w:val="21"/>
        </w:rPr>
        <w:t>F</w:t>
      </w:r>
      <w:r>
        <w:rPr>
          <w:rFonts w:ascii="Public Sans" w:hAnsi="Public Sans"/>
          <w:sz w:val="22"/>
          <w:szCs w:val="21"/>
        </w:rPr>
        <w:t xml:space="preserve">unding </w:t>
      </w:r>
      <w:r w:rsidRPr="006C1C10">
        <w:rPr>
          <w:rFonts w:ascii="Public Sans" w:hAnsi="Public Sans"/>
          <w:sz w:val="22"/>
          <w:szCs w:val="21"/>
        </w:rPr>
        <w:t>M</w:t>
      </w:r>
      <w:r>
        <w:rPr>
          <w:rFonts w:ascii="Public Sans" w:hAnsi="Public Sans"/>
          <w:sz w:val="22"/>
          <w:szCs w:val="21"/>
        </w:rPr>
        <w:t xml:space="preserve">odel </w:t>
      </w:r>
      <w:r w:rsidRPr="006C1C10">
        <w:rPr>
          <w:rFonts w:ascii="Public Sans" w:hAnsi="Public Sans"/>
          <w:sz w:val="22"/>
          <w:szCs w:val="21"/>
        </w:rPr>
        <w:t xml:space="preserve">has been developed to address future budget gaps for the OCV </w:t>
      </w:r>
      <w:r>
        <w:rPr>
          <w:rFonts w:ascii="Public Sans" w:hAnsi="Public Sans"/>
          <w:sz w:val="22"/>
          <w:szCs w:val="21"/>
        </w:rPr>
        <w:t xml:space="preserve">scheme as demand is increasing, and the way demand is serviced is out of the control of the scheme. </w:t>
      </w:r>
    </w:p>
    <w:p w:rsidR="007151AE" w:rsidRPr="003650B9" w:rsidRDefault="007151AE" w:rsidP="003650B9">
      <w:pPr>
        <w:spacing w:line="259" w:lineRule="auto"/>
        <w:contextualSpacing/>
        <w:rPr>
          <w:rFonts w:ascii="Public Sans" w:hAnsi="Public Sans" w:cs="Arial"/>
          <w:sz w:val="24"/>
        </w:rPr>
      </w:pPr>
    </w:p>
    <w:p w:rsidR="006C1C10" w:rsidRDefault="00104EA4" w:rsidP="00315FEF">
      <w:pPr>
        <w:spacing w:after="160" w:line="259" w:lineRule="auto"/>
        <w:contextualSpacing/>
        <w:rPr>
          <w:rFonts w:ascii="Public Sans" w:hAnsi="Public Sans"/>
          <w:sz w:val="22"/>
          <w:szCs w:val="21"/>
        </w:rPr>
      </w:pPr>
      <w:r w:rsidRPr="00D1609C">
        <w:rPr>
          <w:rFonts w:ascii="Public Sans" w:hAnsi="Public Sans" w:cs="Arial"/>
          <w:color w:val="000000"/>
          <w:sz w:val="22"/>
        </w:rPr>
        <w:t>Based on the demand funding model prepared for the OCV scheme, there will be a budget shortfall for fo</w:t>
      </w:r>
      <w:r w:rsidR="007151AE">
        <w:rPr>
          <w:rFonts w:ascii="Public Sans" w:hAnsi="Public Sans" w:cs="Arial"/>
          <w:color w:val="000000"/>
          <w:sz w:val="22"/>
        </w:rPr>
        <w:t>rward</w:t>
      </w:r>
      <w:r w:rsidRPr="00D1609C">
        <w:rPr>
          <w:rFonts w:ascii="Public Sans" w:hAnsi="Public Sans" w:cs="Arial"/>
          <w:color w:val="000000"/>
          <w:sz w:val="22"/>
        </w:rPr>
        <w:t xml:space="preserve"> years: </w:t>
      </w:r>
      <w:r w:rsidR="007151AE">
        <w:rPr>
          <w:rFonts w:ascii="Public Sans" w:hAnsi="Public Sans" w:cs="Arial"/>
          <w:color w:val="000000"/>
          <w:sz w:val="22"/>
        </w:rPr>
        <w:t>2023/</w:t>
      </w:r>
      <w:r w:rsidRPr="00D1609C">
        <w:rPr>
          <w:rFonts w:ascii="Public Sans" w:hAnsi="Public Sans" w:cs="Arial"/>
          <w:color w:val="000000"/>
          <w:sz w:val="22"/>
        </w:rPr>
        <w:t xml:space="preserve">24 </w:t>
      </w:r>
      <w:r w:rsidR="007151AE">
        <w:rPr>
          <w:rFonts w:ascii="Public Sans" w:hAnsi="Public Sans" w:cs="Arial"/>
          <w:color w:val="000000"/>
          <w:sz w:val="22"/>
        </w:rPr>
        <w:t xml:space="preserve">– </w:t>
      </w:r>
      <w:r w:rsidRPr="00D1609C">
        <w:rPr>
          <w:rFonts w:ascii="Public Sans" w:hAnsi="Public Sans" w:cs="Arial"/>
          <w:color w:val="000000"/>
          <w:sz w:val="22"/>
        </w:rPr>
        <w:t xml:space="preserve">$0.6m, </w:t>
      </w:r>
      <w:r w:rsidR="007151AE">
        <w:rPr>
          <w:rFonts w:ascii="Public Sans" w:hAnsi="Public Sans" w:cs="Arial"/>
          <w:color w:val="000000"/>
          <w:sz w:val="22"/>
        </w:rPr>
        <w:t>2024/25 –</w:t>
      </w:r>
      <w:r w:rsidRPr="00D1609C">
        <w:rPr>
          <w:rFonts w:ascii="Public Sans" w:hAnsi="Public Sans" w:cs="Arial"/>
          <w:color w:val="000000"/>
          <w:sz w:val="22"/>
        </w:rPr>
        <w:t xml:space="preserve"> $0.7m, </w:t>
      </w:r>
      <w:r w:rsidR="007151AE">
        <w:rPr>
          <w:rFonts w:ascii="Public Sans" w:hAnsi="Public Sans" w:cs="Arial"/>
          <w:color w:val="000000"/>
          <w:sz w:val="22"/>
        </w:rPr>
        <w:t xml:space="preserve">2025/26 – </w:t>
      </w:r>
      <w:r w:rsidRPr="00D1609C">
        <w:rPr>
          <w:rFonts w:ascii="Public Sans" w:hAnsi="Public Sans" w:cs="Arial"/>
          <w:color w:val="000000"/>
          <w:sz w:val="22"/>
        </w:rPr>
        <w:t xml:space="preserve">$0.8m. Without additional funding, the rate of allocation of visitable services will </w:t>
      </w:r>
      <w:r w:rsidR="00843F87">
        <w:rPr>
          <w:rFonts w:ascii="Public Sans" w:hAnsi="Public Sans" w:cs="Arial"/>
          <w:color w:val="000000"/>
          <w:sz w:val="22"/>
        </w:rPr>
        <w:t>continue to fall</w:t>
      </w:r>
      <w:r w:rsidRPr="00D1609C">
        <w:rPr>
          <w:rFonts w:ascii="Public Sans" w:hAnsi="Public Sans" w:cs="Arial"/>
          <w:color w:val="000000"/>
          <w:sz w:val="22"/>
        </w:rPr>
        <w:t>, undermining the integrity of the OCV scheme</w:t>
      </w:r>
      <w:r w:rsidR="00843F87">
        <w:rPr>
          <w:rFonts w:ascii="Public Sans" w:hAnsi="Public Sans" w:cs="Arial"/>
          <w:color w:val="000000"/>
          <w:sz w:val="22"/>
        </w:rPr>
        <w:t xml:space="preserve">, and compromising </w:t>
      </w:r>
      <w:r w:rsidRPr="00D1609C">
        <w:rPr>
          <w:rFonts w:ascii="Public Sans" w:hAnsi="Public Sans" w:cs="Arial"/>
          <w:color w:val="000000"/>
          <w:sz w:val="22"/>
        </w:rPr>
        <w:t>the wellbeing and safety of residents of disability services, assisted boarding houses and out-of-home c</w:t>
      </w:r>
      <w:r w:rsidR="00843F87">
        <w:rPr>
          <w:rFonts w:ascii="Public Sans" w:hAnsi="Public Sans" w:cs="Arial"/>
          <w:color w:val="000000"/>
          <w:sz w:val="22"/>
        </w:rPr>
        <w:t>are services</w:t>
      </w:r>
      <w:r w:rsidRPr="00D1609C">
        <w:rPr>
          <w:rFonts w:ascii="Public Sans" w:hAnsi="Public Sans" w:cs="Arial"/>
          <w:color w:val="000000"/>
          <w:sz w:val="22"/>
        </w:rPr>
        <w:t>.</w:t>
      </w:r>
    </w:p>
    <w:p w:rsidR="003650B9" w:rsidRPr="006C1C10" w:rsidRDefault="003650B9" w:rsidP="006C1C10">
      <w:pPr>
        <w:pStyle w:val="BodyText1"/>
        <w:spacing w:after="0"/>
        <w:rPr>
          <w:rFonts w:ascii="Public Sans" w:hAnsi="Public Sans"/>
          <w:sz w:val="22"/>
          <w:szCs w:val="21"/>
        </w:rPr>
      </w:pPr>
    </w:p>
    <w:sectPr w:rsidR="003650B9" w:rsidRPr="006C1C10" w:rsidSect="00BB1488">
      <w:headerReference w:type="even" r:id="rId17"/>
      <w:headerReference w:type="default" r:id="rId18"/>
      <w:footerReference w:type="default" r:id="rId19"/>
      <w:headerReference w:type="first" r:id="rId20"/>
      <w:pgSz w:w="11906" w:h="16838" w:code="9"/>
      <w:pgMar w:top="851" w:right="1304" w:bottom="851" w:left="130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38A8" w:rsidRDefault="004A38A8" w:rsidP="00185154">
      <w:r>
        <w:separator/>
      </w:r>
    </w:p>
    <w:p w:rsidR="004A38A8" w:rsidRDefault="004A38A8"/>
  </w:endnote>
  <w:endnote w:type="continuationSeparator" w:id="0">
    <w:p w:rsidR="004A38A8" w:rsidRDefault="004A38A8" w:rsidP="00185154">
      <w:r>
        <w:continuationSeparator/>
      </w:r>
    </w:p>
    <w:p w:rsidR="004A38A8" w:rsidRDefault="004A38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Public Sans">
    <w:panose1 w:val="00000000000000000000"/>
    <w:charset w:val="00"/>
    <w:family w:val="auto"/>
    <w:pitch w:val="variable"/>
    <w:sig w:usb0="A00000FF" w:usb1="4000205B" w:usb2="00000000" w:usb3="00000000" w:csb0="00000193" w:csb1="00000000"/>
  </w:font>
  <w:font w:name="Gotham Thin">
    <w:panose1 w:val="00000000000000000000"/>
    <w:charset w:val="00"/>
    <w:family w:val="modern"/>
    <w:notTrueType/>
    <w:pitch w:val="variable"/>
    <w:sig w:usb0="800000AF" w:usb1="50000048" w:usb2="00000000" w:usb3="00000000" w:csb0="00000111" w:csb1="00000000"/>
  </w:font>
  <w:font w:name="Gotham">
    <w:panose1 w:val="02000504050000020004"/>
    <w:charset w:val="00"/>
    <w:family w:val="auto"/>
    <w:pitch w:val="variable"/>
    <w:sig w:usb0="800000A7"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Klavika Light">
    <w:altName w:val="Times New Roman"/>
    <w:charset w:val="00"/>
    <w:family w:val="auto"/>
    <w:pitch w:val="variable"/>
    <w:sig w:usb0="00000001" w:usb1="5000204A" w:usb2="00000000" w:usb3="00000000" w:csb0="00000093"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 w:name="+mn-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8A8" w:rsidRPr="00906562" w:rsidRDefault="004A38A8" w:rsidP="00906562">
    <w:pPr>
      <w:pStyle w:val="Footer"/>
      <w:pBdr>
        <w:top w:val="single" w:sz="4" w:space="1" w:color="D9D9D9"/>
      </w:pBdr>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8A8" w:rsidRPr="00906562" w:rsidRDefault="004A38A8" w:rsidP="00906562">
    <w:pPr>
      <w:pStyle w:val="Footer"/>
      <w:pBdr>
        <w:top w:val="single" w:sz="4" w:space="1" w:color="D9D9D9" w:themeColor="background1" w:themeShade="D9"/>
      </w:pBdr>
      <w:jc w:val="right"/>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val="0"/>
      </w:rPr>
      <w:id w:val="-562182179"/>
      <w:docPartObj>
        <w:docPartGallery w:val="Page Numbers (Bottom of Page)"/>
        <w:docPartUnique/>
      </w:docPartObj>
    </w:sdtPr>
    <w:sdtEndPr>
      <w:rPr>
        <w:noProof/>
      </w:rPr>
    </w:sdtEndPr>
    <w:sdtContent>
      <w:p w:rsidR="004A38A8" w:rsidRDefault="004A38A8">
        <w:pPr>
          <w:pStyle w:val="Footer"/>
          <w:jc w:val="right"/>
        </w:pPr>
        <w:r>
          <w:rPr>
            <w:noProof w:val="0"/>
          </w:rPr>
          <w:fldChar w:fldCharType="begin"/>
        </w:r>
        <w:r>
          <w:instrText xml:space="preserve"> PAGE   \* MERGEFORMAT </w:instrText>
        </w:r>
        <w:r>
          <w:rPr>
            <w:noProof w:val="0"/>
          </w:rPr>
          <w:fldChar w:fldCharType="separate"/>
        </w:r>
        <w:r w:rsidR="00C974FF">
          <w:t>13</w:t>
        </w:r>
        <w:r>
          <w:fldChar w:fldCharType="end"/>
        </w:r>
      </w:p>
    </w:sdtContent>
  </w:sdt>
  <w:p w:rsidR="004A38A8" w:rsidRPr="00906562" w:rsidRDefault="004A38A8" w:rsidP="00906562">
    <w:pPr>
      <w:pStyle w:val="Footer"/>
      <w:pBdr>
        <w:top w:val="single" w:sz="4" w:space="1" w:color="D9D9D9" w:themeColor="background1" w:themeShade="D9"/>
      </w:pBdr>
      <w:jc w:val="right"/>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38A8" w:rsidRPr="008B1A01" w:rsidRDefault="004A38A8" w:rsidP="00185154">
      <w:pPr>
        <w:rPr>
          <w:color w:val="324851" w:themeColor="accent1"/>
        </w:rPr>
      </w:pPr>
      <w:r w:rsidRPr="008B1A01">
        <w:rPr>
          <w:color w:val="324851" w:themeColor="accent1"/>
        </w:rPr>
        <w:separator/>
      </w:r>
    </w:p>
    <w:p w:rsidR="004A38A8" w:rsidRPr="008B1A01" w:rsidRDefault="004A38A8">
      <w:pPr>
        <w:rPr>
          <w:color w:val="414042" w:themeColor="text2"/>
          <w:sz w:val="6"/>
        </w:rPr>
      </w:pPr>
    </w:p>
  </w:footnote>
  <w:footnote w:type="continuationSeparator" w:id="0">
    <w:p w:rsidR="004A38A8" w:rsidRDefault="004A38A8" w:rsidP="00185154">
      <w:r>
        <w:continuationSeparator/>
      </w:r>
    </w:p>
    <w:p w:rsidR="004A38A8" w:rsidRDefault="004A38A8"/>
  </w:footnote>
  <w:footnote w:id="1">
    <w:p w:rsidR="004A38A8" w:rsidRPr="00496C10" w:rsidRDefault="004A38A8">
      <w:pPr>
        <w:pStyle w:val="FootnoteText"/>
        <w:rPr>
          <w:rFonts w:ascii="Public Sans" w:hAnsi="Public Sans"/>
        </w:rPr>
      </w:pPr>
      <w:r w:rsidRPr="00496C10">
        <w:rPr>
          <w:rStyle w:val="FootnoteReference"/>
          <w:rFonts w:ascii="Public Sans" w:hAnsi="Public Sans"/>
        </w:rPr>
        <w:footnoteRef/>
      </w:r>
      <w:r w:rsidRPr="00496C10">
        <w:rPr>
          <w:rFonts w:ascii="Public Sans" w:hAnsi="Public Sans"/>
        </w:rPr>
        <w:t xml:space="preserve"> </w:t>
      </w:r>
      <w:r>
        <w:rPr>
          <w:rFonts w:ascii="Public Sans" w:hAnsi="Public Sans"/>
        </w:rPr>
        <w:t xml:space="preserve">South Australian Law Reform Institute (2022) </w:t>
      </w:r>
      <w:r w:rsidRPr="00496C10">
        <w:rPr>
          <w:rFonts w:ascii="Public Sans" w:hAnsi="Public Sans"/>
        </w:rPr>
        <w:t>‘</w:t>
      </w:r>
      <w:r w:rsidRPr="00496C10">
        <w:rPr>
          <w:rFonts w:ascii="Public Sans" w:hAnsi="Public Sans"/>
          <w:i/>
        </w:rPr>
        <w:t>Autonomy and Safeguarding are not Mutually Inconsistent’: A Review of the Operation of the Ageing and Adult Safeguarding Act 1995</w:t>
      </w:r>
      <w:r w:rsidRPr="00496C10">
        <w:rPr>
          <w:rFonts w:ascii="Public Sans" w:hAnsi="Public Sans"/>
        </w:rPr>
        <w:t xml:space="preserve"> (SA)</w:t>
      </w:r>
      <w:r>
        <w:rPr>
          <w:rFonts w:ascii="Public Sans" w:hAnsi="Public Sans"/>
        </w:rPr>
        <w:t>, page xxviii.</w:t>
      </w:r>
    </w:p>
  </w:footnote>
  <w:footnote w:id="2">
    <w:p w:rsidR="004A38A8" w:rsidRPr="00801272" w:rsidRDefault="004A38A8">
      <w:pPr>
        <w:pStyle w:val="FootnoteText"/>
        <w:rPr>
          <w:rFonts w:ascii="Public Sans" w:hAnsi="Public Sans"/>
        </w:rPr>
      </w:pPr>
      <w:r w:rsidRPr="00801272">
        <w:rPr>
          <w:rStyle w:val="FootnoteReference"/>
          <w:rFonts w:ascii="Public Sans" w:hAnsi="Public Sans"/>
        </w:rPr>
        <w:footnoteRef/>
      </w:r>
      <w:r w:rsidRPr="00801272">
        <w:rPr>
          <w:rFonts w:ascii="Public Sans" w:hAnsi="Public Sans"/>
        </w:rPr>
        <w:t xml:space="preserve"> </w:t>
      </w:r>
      <w:r>
        <w:rPr>
          <w:rFonts w:ascii="Public Sans" w:hAnsi="Public Sans"/>
        </w:rPr>
        <w:t>Ibid,</w:t>
      </w:r>
      <w:r w:rsidRPr="00801272">
        <w:rPr>
          <w:rFonts w:ascii="Public Sans" w:hAnsi="Public Sans"/>
        </w:rPr>
        <w:t xml:space="preserve"> page xxxvii.</w:t>
      </w:r>
    </w:p>
  </w:footnote>
  <w:footnote w:id="3">
    <w:p w:rsidR="004A38A8" w:rsidRPr="00F46653" w:rsidRDefault="004A38A8">
      <w:pPr>
        <w:pStyle w:val="FootnoteText"/>
        <w:rPr>
          <w:rFonts w:ascii="Public Sans" w:hAnsi="Public Sans"/>
        </w:rPr>
      </w:pPr>
      <w:r w:rsidRPr="00F46653">
        <w:rPr>
          <w:rStyle w:val="FootnoteReference"/>
          <w:rFonts w:ascii="Public Sans" w:hAnsi="Public Sans"/>
        </w:rPr>
        <w:footnoteRef/>
      </w:r>
      <w:r w:rsidRPr="00F46653">
        <w:rPr>
          <w:rFonts w:ascii="Public Sans" w:hAnsi="Public Sans"/>
        </w:rPr>
        <w:t xml:space="preserve"> NSW Ombudsman </w:t>
      </w:r>
      <w:r>
        <w:rPr>
          <w:rFonts w:ascii="Public Sans" w:hAnsi="Public Sans"/>
        </w:rPr>
        <w:t xml:space="preserve">(2018) </w:t>
      </w:r>
      <w:r w:rsidRPr="00F46653">
        <w:rPr>
          <w:rFonts w:ascii="Public Sans" w:hAnsi="Public Sans"/>
          <w:i/>
        </w:rPr>
        <w:t xml:space="preserve">Abuse and neglect </w:t>
      </w:r>
      <w:r>
        <w:rPr>
          <w:rFonts w:ascii="Public Sans" w:hAnsi="Public Sans"/>
          <w:i/>
        </w:rPr>
        <w:t>of</w:t>
      </w:r>
      <w:r w:rsidRPr="00F46653">
        <w:rPr>
          <w:rFonts w:ascii="Public Sans" w:hAnsi="Public Sans"/>
          <w:i/>
        </w:rPr>
        <w:t xml:space="preserve"> vulnerable adults in NSW – the need for action</w:t>
      </w:r>
      <w:r>
        <w:rPr>
          <w:rFonts w:ascii="Public Sans" w:hAnsi="Public Sans"/>
        </w:rPr>
        <w:t>, p</w:t>
      </w:r>
      <w:r w:rsidRPr="00F46653">
        <w:rPr>
          <w:rFonts w:ascii="Public Sans" w:hAnsi="Public Sans"/>
        </w:rPr>
        <w:t>age 4 (see also pp32-33)</w:t>
      </w:r>
      <w:r>
        <w:rPr>
          <w:rFonts w:ascii="Public Sans" w:hAnsi="Public Sans"/>
        </w:rPr>
        <w:t>.</w:t>
      </w:r>
    </w:p>
  </w:footnote>
  <w:footnote w:id="4">
    <w:p w:rsidR="004A38A8" w:rsidRPr="00517C0C" w:rsidRDefault="004A38A8">
      <w:pPr>
        <w:pStyle w:val="FootnoteText"/>
        <w:rPr>
          <w:rFonts w:ascii="Public Sans" w:hAnsi="Public Sans"/>
        </w:rPr>
      </w:pPr>
      <w:r w:rsidRPr="00517C0C">
        <w:rPr>
          <w:rStyle w:val="FootnoteReference"/>
          <w:rFonts w:ascii="Public Sans" w:hAnsi="Public Sans"/>
        </w:rPr>
        <w:footnoteRef/>
      </w:r>
      <w:r w:rsidRPr="00517C0C">
        <w:rPr>
          <w:rFonts w:ascii="Public Sans" w:hAnsi="Public Sans"/>
        </w:rPr>
        <w:t xml:space="preserve"> Queensland Public Advocate (2022) </w:t>
      </w:r>
      <w:r w:rsidRPr="00517C0C">
        <w:rPr>
          <w:rFonts w:ascii="Public Sans" w:hAnsi="Public Sans"/>
          <w:i/>
        </w:rPr>
        <w:t>Adult Safeguarding in Queensland, Volume 2: Reform recommendations</w:t>
      </w:r>
      <w:r w:rsidRPr="00517C0C">
        <w:rPr>
          <w:rFonts w:ascii="Public Sans" w:hAnsi="Public Sans"/>
        </w:rPr>
        <w:t>, p43.</w:t>
      </w:r>
    </w:p>
  </w:footnote>
  <w:footnote w:id="5">
    <w:p w:rsidR="004A38A8" w:rsidRPr="00A14018" w:rsidRDefault="004A38A8">
      <w:pPr>
        <w:pStyle w:val="FootnoteText"/>
        <w:rPr>
          <w:rFonts w:ascii="Public Sans" w:hAnsi="Public Sans"/>
        </w:rPr>
      </w:pPr>
      <w:r w:rsidRPr="00A14018">
        <w:rPr>
          <w:rStyle w:val="FootnoteReference"/>
          <w:rFonts w:ascii="Public Sans" w:hAnsi="Public Sans"/>
        </w:rPr>
        <w:footnoteRef/>
      </w:r>
      <w:r w:rsidRPr="00A14018">
        <w:rPr>
          <w:rFonts w:ascii="Public Sans" w:hAnsi="Public Sans"/>
        </w:rPr>
        <w:t xml:space="preserve"> Office of the Public Advocate (2022) </w:t>
      </w:r>
      <w:r w:rsidRPr="00A14018">
        <w:rPr>
          <w:rFonts w:ascii="Public Sans" w:hAnsi="Public Sans"/>
          <w:i/>
        </w:rPr>
        <w:t>Gaps in Victoria’s safeguards for at-risk adults</w:t>
      </w:r>
      <w:r w:rsidRPr="00A14018">
        <w:rPr>
          <w:rFonts w:ascii="Public Sans" w:hAnsi="Public Sans"/>
        </w:rPr>
        <w:t>, page 58.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8A8" w:rsidRDefault="004A38A8">
    <w:pPr>
      <w:pStyle w:val="Header"/>
    </w:pPr>
    <w:r>
      <w:rPr>
        <w:noProof/>
        <w:lang w:eastAsia="en-AU"/>
      </w:rPr>
      <w:drawing>
        <wp:anchor distT="0" distB="0" distL="114300" distR="114300" simplePos="0" relativeHeight="251657216" behindDoc="0" locked="1" layoutInCell="1" allowOverlap="1" wp14:anchorId="3083C238" wp14:editId="5A74190F">
          <wp:simplePos x="0" y="0"/>
          <wp:positionH relativeFrom="page">
            <wp:posOffset>6985</wp:posOffset>
          </wp:positionH>
          <wp:positionV relativeFrom="page">
            <wp:posOffset>0</wp:posOffset>
          </wp:positionV>
          <wp:extent cx="7541895" cy="1292225"/>
          <wp:effectExtent l="0" t="0" r="1905" b="3175"/>
          <wp:wrapTopAndBottom/>
          <wp:docPr id="1" name="Picture 1" descr="Ageing and Disability Commission Logo | 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geing and Disability Commission Logo | NSW Government Logo"/>
                  <pic:cNvPicPr/>
                </pic:nvPicPr>
                <pic:blipFill>
                  <a:blip r:embed="rId1">
                    <a:extLst>
                      <a:ext uri="{28A0092B-C50C-407E-A947-70E740481C1C}">
                        <a14:useLocalDpi xmlns:a14="http://schemas.microsoft.com/office/drawing/2010/main" val="0"/>
                      </a:ext>
                    </a:extLst>
                  </a:blip>
                  <a:stretch>
                    <a:fillRect/>
                  </a:stretch>
                </pic:blipFill>
                <pic:spPr>
                  <a:xfrm>
                    <a:off x="0" y="0"/>
                    <a:ext cx="7541895" cy="129222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8A8" w:rsidRDefault="004A38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8A8" w:rsidRPr="007B5A24" w:rsidRDefault="004A38A8" w:rsidP="007B5A2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8A8" w:rsidRDefault="004A38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A3045"/>
    <w:multiLevelType w:val="hybridMultilevel"/>
    <w:tmpl w:val="E99210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1A965BA"/>
    <w:multiLevelType w:val="hybridMultilevel"/>
    <w:tmpl w:val="959048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1FB28C5"/>
    <w:multiLevelType w:val="multilevel"/>
    <w:tmpl w:val="11C64328"/>
    <w:styleLink w:val="ListParagraph"/>
    <w:lvl w:ilvl="0">
      <w:start w:val="1"/>
      <w:numFmt w:val="none"/>
      <w:pStyle w:val="ListParagraph0"/>
      <w:suff w:val="nothing"/>
      <w:lvlText w:val=""/>
      <w:lvlJc w:val="left"/>
      <w:pPr>
        <w:ind w:left="284" w:firstLine="0"/>
      </w:pPr>
      <w:rPr>
        <w:rFonts w:asciiTheme="minorHAnsi" w:hAnsiTheme="minorHAnsi" w:hint="default"/>
        <w:color w:val="auto"/>
      </w:rPr>
    </w:lvl>
    <w:lvl w:ilvl="1">
      <w:start w:val="1"/>
      <w:numFmt w:val="none"/>
      <w:pStyle w:val="ListParagraph2"/>
      <w:suff w:val="nothing"/>
      <w:lvlText w:val=""/>
      <w:lvlJc w:val="left"/>
      <w:pPr>
        <w:ind w:left="567" w:firstLine="0"/>
      </w:pPr>
      <w:rPr>
        <w:rFonts w:asciiTheme="minorHAnsi" w:hAnsiTheme="minorHAnsi" w:hint="default"/>
        <w:color w:val="auto"/>
      </w:rPr>
    </w:lvl>
    <w:lvl w:ilvl="2">
      <w:start w:val="1"/>
      <w:numFmt w:val="none"/>
      <w:pStyle w:val="ListParagraph3"/>
      <w:suff w:val="nothing"/>
      <w:lvlText w:val=""/>
      <w:lvlJc w:val="left"/>
      <w:pPr>
        <w:ind w:left="851" w:firstLine="0"/>
      </w:pPr>
      <w:rPr>
        <w:rFonts w:asciiTheme="minorHAnsi" w:hAnsiTheme="minorHAnsi" w:hint="default"/>
        <w:color w:val="auto"/>
      </w:rPr>
    </w:lvl>
    <w:lvl w:ilvl="3">
      <w:start w:val="1"/>
      <w:numFmt w:val="none"/>
      <w:pStyle w:val="ListParagraph4"/>
      <w:suff w:val="nothing"/>
      <w:lvlText w:val=""/>
      <w:lvlJc w:val="left"/>
      <w:pPr>
        <w:ind w:left="1134" w:firstLine="0"/>
      </w:pPr>
      <w:rPr>
        <w:rFonts w:asciiTheme="minorHAnsi" w:hAnsiTheme="minorHAnsi" w:hint="default"/>
        <w:color w:val="auto"/>
      </w:rPr>
    </w:lvl>
    <w:lvl w:ilvl="4">
      <w:start w:val="1"/>
      <w:numFmt w:val="none"/>
      <w:pStyle w:val="ListParagraph5"/>
      <w:suff w:val="nothing"/>
      <w:lvlText w:val=""/>
      <w:lvlJc w:val="left"/>
      <w:pPr>
        <w:ind w:left="1418" w:firstLine="0"/>
      </w:pPr>
      <w:rPr>
        <w:rFonts w:asciiTheme="minorHAnsi" w:hAnsiTheme="minorHAnsi" w:hint="default"/>
        <w:color w:val="auto"/>
      </w:rPr>
    </w:lvl>
    <w:lvl w:ilvl="5">
      <w:start w:val="1"/>
      <w:numFmt w:val="none"/>
      <w:pStyle w:val="ListParagraph6"/>
      <w:suff w:val="nothing"/>
      <w:lvlText w:val=""/>
      <w:lvlJc w:val="left"/>
      <w:pPr>
        <w:ind w:left="1701" w:firstLine="0"/>
      </w:pPr>
      <w:rPr>
        <w:rFonts w:asciiTheme="minorHAnsi" w:hAnsiTheme="minorHAnsi" w:hint="default"/>
        <w:color w:val="auto"/>
      </w:rPr>
    </w:lvl>
    <w:lvl w:ilvl="6">
      <w:start w:val="1"/>
      <w:numFmt w:val="none"/>
      <w:suff w:val="nothing"/>
      <w:lvlText w:val=""/>
      <w:lvlJc w:val="left"/>
      <w:pPr>
        <w:ind w:left="1985" w:firstLine="0"/>
      </w:pPr>
      <w:rPr>
        <w:rFonts w:hint="default"/>
        <w:color w:val="000000"/>
      </w:rPr>
    </w:lvl>
    <w:lvl w:ilvl="7">
      <w:start w:val="1"/>
      <w:numFmt w:val="none"/>
      <w:suff w:val="nothing"/>
      <w:lvlText w:val=""/>
      <w:lvlJc w:val="left"/>
      <w:pPr>
        <w:ind w:left="2268" w:firstLine="0"/>
      </w:pPr>
      <w:rPr>
        <w:rFonts w:hint="default"/>
      </w:rPr>
    </w:lvl>
    <w:lvl w:ilvl="8">
      <w:numFmt w:val="none"/>
      <w:lvlText w:val=""/>
      <w:lvlJc w:val="left"/>
      <w:pPr>
        <w:tabs>
          <w:tab w:val="num" w:pos="3123"/>
        </w:tabs>
        <w:ind w:left="2552" w:firstLine="0"/>
      </w:pPr>
      <w:rPr>
        <w:rFonts w:hint="default"/>
      </w:rPr>
    </w:lvl>
  </w:abstractNum>
  <w:abstractNum w:abstractNumId="3" w15:restartNumberingAfterBreak="0">
    <w:nsid w:val="07284AE9"/>
    <w:multiLevelType w:val="multilevel"/>
    <w:tmpl w:val="1562CFC6"/>
    <w:styleLink w:val="ListAlpha"/>
    <w:lvl w:ilvl="0">
      <w:start w:val="1"/>
      <w:numFmt w:val="lowerLetter"/>
      <w:pStyle w:val="ListAlpha0"/>
      <w:lvlText w:val="%1."/>
      <w:lvlJc w:val="left"/>
      <w:pPr>
        <w:tabs>
          <w:tab w:val="num" w:pos="567"/>
        </w:tabs>
        <w:ind w:left="567" w:hanging="567"/>
      </w:pPr>
      <w:rPr>
        <w:rFonts w:asciiTheme="minorHAnsi" w:hAnsiTheme="minorHAnsi" w:hint="default"/>
        <w:color w:val="auto"/>
        <w:sz w:val="22"/>
      </w:rPr>
    </w:lvl>
    <w:lvl w:ilvl="1">
      <w:start w:val="1"/>
      <w:numFmt w:val="lowerRoman"/>
      <w:pStyle w:val="ListAlpha2"/>
      <w:lvlText w:val="%2."/>
      <w:lvlJc w:val="left"/>
      <w:pPr>
        <w:tabs>
          <w:tab w:val="num" w:pos="1134"/>
        </w:tabs>
        <w:ind w:left="1134" w:hanging="567"/>
      </w:pPr>
      <w:rPr>
        <w:rFonts w:asciiTheme="minorHAnsi" w:hAnsiTheme="minorHAnsi" w:hint="default"/>
        <w:color w:val="auto"/>
        <w:sz w:val="22"/>
      </w:rPr>
    </w:lvl>
    <w:lvl w:ilvl="2">
      <w:start w:val="1"/>
      <w:numFmt w:val="decimal"/>
      <w:pStyle w:val="ListAlpha3"/>
      <w:lvlText w:val="%3."/>
      <w:lvlJc w:val="left"/>
      <w:pPr>
        <w:tabs>
          <w:tab w:val="num" w:pos="1701"/>
        </w:tabs>
        <w:ind w:left="1701" w:hanging="567"/>
      </w:pPr>
      <w:rPr>
        <w:rFonts w:asciiTheme="minorHAnsi" w:hAnsiTheme="minorHAnsi" w:hint="default"/>
        <w:color w:val="auto"/>
        <w:sz w:val="22"/>
      </w:rPr>
    </w:lvl>
    <w:lvl w:ilvl="3">
      <w:start w:val="1"/>
      <w:numFmt w:val="upperLetter"/>
      <w:pStyle w:val="ListAlpha4"/>
      <w:lvlText w:val="%4."/>
      <w:lvlJc w:val="left"/>
      <w:pPr>
        <w:tabs>
          <w:tab w:val="num" w:pos="2268"/>
        </w:tabs>
        <w:ind w:left="2268" w:hanging="567"/>
      </w:pPr>
      <w:rPr>
        <w:rFonts w:asciiTheme="minorHAnsi" w:hAnsiTheme="minorHAnsi" w:hint="default"/>
        <w:color w:val="auto"/>
        <w:sz w:val="22"/>
      </w:rPr>
    </w:lvl>
    <w:lvl w:ilvl="4">
      <w:start w:val="1"/>
      <w:numFmt w:val="upperRoman"/>
      <w:pStyle w:val="ListAlpha5"/>
      <w:lvlText w:val="%5."/>
      <w:lvlJc w:val="left"/>
      <w:pPr>
        <w:tabs>
          <w:tab w:val="num" w:pos="2835"/>
        </w:tabs>
        <w:ind w:left="2835" w:hanging="567"/>
      </w:pPr>
      <w:rPr>
        <w:rFonts w:asciiTheme="minorHAnsi" w:hAnsiTheme="minorHAnsi" w:hint="default"/>
        <w:color w:val="auto"/>
        <w:sz w:val="22"/>
      </w:rPr>
    </w:lvl>
    <w:lvl w:ilvl="5">
      <w:start w:val="1"/>
      <w:numFmt w:val="decimal"/>
      <w:pStyle w:val="ListAlpha6"/>
      <w:lvlText w:val="%6."/>
      <w:lvlJc w:val="left"/>
      <w:pPr>
        <w:tabs>
          <w:tab w:val="num" w:pos="3402"/>
        </w:tabs>
        <w:ind w:left="3402" w:hanging="567"/>
      </w:pPr>
      <w:rPr>
        <w:rFonts w:asciiTheme="minorHAnsi" w:hAnsiTheme="minorHAnsi" w:hint="default"/>
        <w:color w:val="auto"/>
        <w:sz w:val="22"/>
      </w:rPr>
    </w:lvl>
    <w:lvl w:ilvl="6">
      <w:start w:val="1"/>
      <w:numFmt w:val="none"/>
      <w:lvlText w:val=""/>
      <w:lvlJc w:val="left"/>
      <w:pPr>
        <w:ind w:left="-32767" w:firstLine="0"/>
      </w:pPr>
      <w:rPr>
        <w:rFonts w:hint="default"/>
      </w:rPr>
    </w:lvl>
    <w:lvl w:ilvl="7">
      <w:start w:val="1"/>
      <w:numFmt w:val="none"/>
      <w:lvlText w:val=""/>
      <w:lvlJc w:val="left"/>
      <w:pPr>
        <w:ind w:left="-32767" w:firstLine="0"/>
      </w:pPr>
      <w:rPr>
        <w:rFonts w:hint="default"/>
      </w:rPr>
    </w:lvl>
    <w:lvl w:ilvl="8">
      <w:start w:val="1"/>
      <w:numFmt w:val="none"/>
      <w:lvlText w:val=""/>
      <w:lvlJc w:val="left"/>
      <w:pPr>
        <w:ind w:left="-32767" w:firstLine="0"/>
      </w:pPr>
      <w:rPr>
        <w:rFonts w:hint="default"/>
      </w:rPr>
    </w:lvl>
  </w:abstractNum>
  <w:abstractNum w:abstractNumId="4" w15:restartNumberingAfterBreak="0">
    <w:nsid w:val="07A914D6"/>
    <w:multiLevelType w:val="multilevel"/>
    <w:tmpl w:val="E73805CA"/>
    <w:lvl w:ilvl="0">
      <w:start w:val="3"/>
      <w:numFmt w:val="decimal"/>
      <w:pStyle w:val="ChapterHeading"/>
      <w:lvlText w:val="Chapter %1"/>
      <w:lvlJc w:val="left"/>
      <w:pPr>
        <w:ind w:left="0" w:firstLine="0"/>
      </w:pPr>
      <w:rPr>
        <w:rFonts w:hint="default"/>
        <w:color w:val="324851"/>
        <w:sz w:val="44"/>
      </w:rPr>
    </w:lvl>
    <w:lvl w:ilvl="1">
      <w:start w:val="1"/>
      <w:numFmt w:val="decimal"/>
      <w:pStyle w:val="NbrHeading1"/>
      <w:lvlText w:val="%2"/>
      <w:lvlJc w:val="left"/>
      <w:pPr>
        <w:tabs>
          <w:tab w:val="num" w:pos="1134"/>
        </w:tabs>
        <w:ind w:left="1134" w:hanging="1134"/>
      </w:pPr>
      <w:rPr>
        <w:rFonts w:hint="default"/>
      </w:rPr>
    </w:lvl>
    <w:lvl w:ilvl="2">
      <w:start w:val="1"/>
      <w:numFmt w:val="decimal"/>
      <w:pStyle w:val="NbrHeading2"/>
      <w:lvlText w:val="%2.%3"/>
      <w:lvlJc w:val="left"/>
      <w:pPr>
        <w:tabs>
          <w:tab w:val="num" w:pos="1418"/>
        </w:tabs>
        <w:ind w:left="1418" w:hanging="1134"/>
      </w:pPr>
      <w:rPr>
        <w:rFonts w:hint="default"/>
      </w:rPr>
    </w:lvl>
    <w:lvl w:ilvl="3">
      <w:start w:val="1"/>
      <w:numFmt w:val="decimal"/>
      <w:pStyle w:val="NbrHeading3"/>
      <w:lvlText w:val="%2.%3.%4"/>
      <w:lvlJc w:val="left"/>
      <w:pPr>
        <w:tabs>
          <w:tab w:val="num" w:pos="1134"/>
        </w:tabs>
        <w:ind w:left="1134" w:hanging="1134"/>
      </w:pPr>
      <w:rPr>
        <w:rFonts w:hint="default"/>
      </w:rPr>
    </w:lvl>
    <w:lvl w:ilvl="4">
      <w:start w:val="1"/>
      <w:numFmt w:val="decimal"/>
      <w:pStyle w:val="NbrHeading4"/>
      <w:lvlText w:val="%2.%3.%4.%5"/>
      <w:lvlJc w:val="left"/>
      <w:pPr>
        <w:tabs>
          <w:tab w:val="num" w:pos="1134"/>
        </w:tabs>
        <w:ind w:left="1134" w:hanging="1134"/>
      </w:pPr>
      <w:rPr>
        <w:rFonts w:hint="default"/>
      </w:rPr>
    </w:lvl>
    <w:lvl w:ilvl="5">
      <w:start w:val="1"/>
      <w:numFmt w:val="decimal"/>
      <w:pStyle w:val="NbrHeading5"/>
      <w:lvlText w:val="%2.%3.%4.%5.%6"/>
      <w:lvlJc w:val="left"/>
      <w:pPr>
        <w:tabs>
          <w:tab w:val="num" w:pos="1134"/>
        </w:tabs>
        <w:ind w:left="1134" w:hanging="1134"/>
      </w:pPr>
      <w:rPr>
        <w:rFonts w:hint="default"/>
      </w:rPr>
    </w:lvl>
    <w:lvl w:ilvl="6">
      <w:start w:val="1"/>
      <w:numFmt w:val="decimal"/>
      <w:lvlText w:val="%2.%3.%4.%5.%6.%7"/>
      <w:lvlJc w:val="left"/>
      <w:pPr>
        <w:tabs>
          <w:tab w:val="num" w:pos="1134"/>
        </w:tabs>
        <w:ind w:left="1134" w:hanging="1134"/>
      </w:pPr>
      <w:rPr>
        <w:rFonts w:hint="default"/>
      </w:rPr>
    </w:lvl>
    <w:lvl w:ilvl="7">
      <w:start w:val="1"/>
      <w:numFmt w:val="decimal"/>
      <w:lvlText w:val="%2.%3.%4.%5.%6.%7.%8"/>
      <w:lvlJc w:val="left"/>
      <w:pPr>
        <w:tabs>
          <w:tab w:val="num" w:pos="1134"/>
        </w:tabs>
        <w:ind w:left="1134" w:hanging="1134"/>
      </w:pPr>
      <w:rPr>
        <w:rFonts w:hint="default"/>
      </w:rPr>
    </w:lvl>
    <w:lvl w:ilvl="8">
      <w:start w:val="1"/>
      <w:numFmt w:val="decimal"/>
      <w:lvlText w:val="%2.%3.%4.%5.%6.%7.%8.%9"/>
      <w:lvlJc w:val="left"/>
      <w:pPr>
        <w:tabs>
          <w:tab w:val="num" w:pos="1134"/>
        </w:tabs>
        <w:ind w:left="1134" w:hanging="1134"/>
      </w:pPr>
      <w:rPr>
        <w:rFonts w:hint="default"/>
      </w:rPr>
    </w:lvl>
  </w:abstractNum>
  <w:abstractNum w:abstractNumId="5" w15:restartNumberingAfterBreak="0">
    <w:nsid w:val="09E37269"/>
    <w:multiLevelType w:val="multilevel"/>
    <w:tmpl w:val="BC2A39FC"/>
    <w:lvl w:ilvl="0">
      <w:start w:val="1"/>
      <w:numFmt w:val="decimal"/>
      <w:pStyle w:val="Contentslistheading1"/>
      <w:lvlText w:val="%1."/>
      <w:lvlJc w:val="left"/>
      <w:pPr>
        <w:ind w:left="717" w:hanging="360"/>
      </w:pPr>
      <w:rPr>
        <w:rFonts w:hint="default"/>
      </w:rPr>
    </w:lvl>
    <w:lvl w:ilvl="1">
      <w:start w:val="1"/>
      <w:numFmt w:val="decimal"/>
      <w:isLgl/>
      <w:lvlText w:val="%1.%2"/>
      <w:lvlJc w:val="left"/>
      <w:pPr>
        <w:ind w:left="1089" w:hanging="375"/>
      </w:pPr>
      <w:rPr>
        <w:rFonts w:hint="default"/>
      </w:rPr>
    </w:lvl>
    <w:lvl w:ilvl="2">
      <w:start w:val="1"/>
      <w:numFmt w:val="decimal"/>
      <w:isLgl/>
      <w:lvlText w:val="%1.%2.%3"/>
      <w:lvlJc w:val="left"/>
      <w:pPr>
        <w:ind w:left="1791" w:hanging="720"/>
      </w:pPr>
      <w:rPr>
        <w:rFonts w:hint="default"/>
      </w:rPr>
    </w:lvl>
    <w:lvl w:ilvl="3">
      <w:start w:val="1"/>
      <w:numFmt w:val="decimal"/>
      <w:isLgl/>
      <w:lvlText w:val="%1.%2.%3.%4"/>
      <w:lvlJc w:val="left"/>
      <w:pPr>
        <w:ind w:left="2508" w:hanging="1080"/>
      </w:pPr>
      <w:rPr>
        <w:rFonts w:hint="default"/>
      </w:rPr>
    </w:lvl>
    <w:lvl w:ilvl="4">
      <w:start w:val="1"/>
      <w:numFmt w:val="decimal"/>
      <w:isLgl/>
      <w:lvlText w:val="%1.%2.%3.%4.%5"/>
      <w:lvlJc w:val="left"/>
      <w:pPr>
        <w:ind w:left="2865" w:hanging="1080"/>
      </w:pPr>
      <w:rPr>
        <w:rFonts w:hint="default"/>
      </w:rPr>
    </w:lvl>
    <w:lvl w:ilvl="5">
      <w:start w:val="1"/>
      <w:numFmt w:val="decimal"/>
      <w:isLgl/>
      <w:lvlText w:val="%1.%2.%3.%4.%5.%6"/>
      <w:lvlJc w:val="left"/>
      <w:pPr>
        <w:ind w:left="3582" w:hanging="1440"/>
      </w:pPr>
      <w:rPr>
        <w:rFonts w:hint="default"/>
      </w:rPr>
    </w:lvl>
    <w:lvl w:ilvl="6">
      <w:start w:val="1"/>
      <w:numFmt w:val="decimal"/>
      <w:isLgl/>
      <w:lvlText w:val="%1.%2.%3.%4.%5.%6.%7"/>
      <w:lvlJc w:val="left"/>
      <w:pPr>
        <w:ind w:left="3939" w:hanging="1440"/>
      </w:pPr>
      <w:rPr>
        <w:rFonts w:hint="default"/>
      </w:rPr>
    </w:lvl>
    <w:lvl w:ilvl="7">
      <w:start w:val="1"/>
      <w:numFmt w:val="decimal"/>
      <w:isLgl/>
      <w:lvlText w:val="%1.%2.%3.%4.%5.%6.%7.%8"/>
      <w:lvlJc w:val="left"/>
      <w:pPr>
        <w:ind w:left="4656" w:hanging="1800"/>
      </w:pPr>
      <w:rPr>
        <w:rFonts w:hint="default"/>
      </w:rPr>
    </w:lvl>
    <w:lvl w:ilvl="8">
      <w:start w:val="1"/>
      <w:numFmt w:val="decimal"/>
      <w:isLgl/>
      <w:lvlText w:val="%1.%2.%3.%4.%5.%6.%7.%8.%9"/>
      <w:lvlJc w:val="left"/>
      <w:pPr>
        <w:ind w:left="5373" w:hanging="2160"/>
      </w:pPr>
      <w:rPr>
        <w:rFonts w:hint="default"/>
      </w:rPr>
    </w:lvl>
  </w:abstractNum>
  <w:abstractNum w:abstractNumId="6" w15:restartNumberingAfterBreak="0">
    <w:nsid w:val="0CCD4DAA"/>
    <w:multiLevelType w:val="multilevel"/>
    <w:tmpl w:val="59A6B200"/>
    <w:styleLink w:val="ListTableBullet"/>
    <w:lvl w:ilvl="0">
      <w:start w:val="1"/>
      <w:numFmt w:val="bullet"/>
      <w:pStyle w:val="TableBullet"/>
      <w:lvlText w:val=""/>
      <w:lvlJc w:val="left"/>
      <w:pPr>
        <w:tabs>
          <w:tab w:val="num" w:pos="397"/>
        </w:tabs>
        <w:ind w:left="397" w:hanging="284"/>
      </w:pPr>
      <w:rPr>
        <w:rFonts w:ascii="Wingdings" w:hAnsi="Wingdings" w:hint="default"/>
        <w:color w:val="auto"/>
        <w:sz w:val="20"/>
      </w:rPr>
    </w:lvl>
    <w:lvl w:ilvl="1">
      <w:start w:val="1"/>
      <w:numFmt w:val="bullet"/>
      <w:pStyle w:val="TableBullet2"/>
      <w:lvlText w:val="–"/>
      <w:lvlJc w:val="left"/>
      <w:pPr>
        <w:tabs>
          <w:tab w:val="num" w:pos="680"/>
        </w:tabs>
        <w:ind w:left="680" w:hanging="283"/>
      </w:pPr>
      <w:rPr>
        <w:rFonts w:ascii="Arial" w:hAnsi="Arial" w:hint="default"/>
        <w:color w:val="auto"/>
        <w:sz w:val="20"/>
      </w:rPr>
    </w:lvl>
    <w:lvl w:ilvl="2">
      <w:start w:val="1"/>
      <w:numFmt w:val="none"/>
      <w:lvlText w:val=""/>
      <w:lvlJc w:val="left"/>
      <w:pPr>
        <w:tabs>
          <w:tab w:val="num" w:pos="-31680"/>
        </w:tabs>
        <w:ind w:left="-32767" w:firstLine="0"/>
      </w:pPr>
      <w:rPr>
        <w:rFonts w:hint="default"/>
        <w:color w:val="000000"/>
      </w:rPr>
    </w:lvl>
    <w:lvl w:ilvl="3">
      <w:start w:val="1"/>
      <w:numFmt w:val="none"/>
      <w:lvlText w:val="%4"/>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color w:val="000000"/>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color w:val="000000"/>
      </w:rPr>
    </w:lvl>
    <w:lvl w:ilvl="7">
      <w:start w:val="1"/>
      <w:numFmt w:val="none"/>
      <w:lvlText w:val="%8"/>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color w:val="000000"/>
      </w:rPr>
    </w:lvl>
  </w:abstractNum>
  <w:abstractNum w:abstractNumId="7" w15:restartNumberingAfterBreak="0">
    <w:nsid w:val="0FB97078"/>
    <w:multiLevelType w:val="multilevel"/>
    <w:tmpl w:val="D8CC95A2"/>
    <w:styleLink w:val="ListChapter"/>
    <w:lvl w:ilvl="0">
      <w:start w:val="1"/>
      <w:numFmt w:val="decimal"/>
      <w:suff w:val="nothing"/>
      <w:lvlText w:val="Chapter %1"/>
      <w:lvlJc w:val="left"/>
      <w:pPr>
        <w:ind w:left="0" w:firstLine="0"/>
      </w:pPr>
      <w:rPr>
        <w:rFonts w:hint="default"/>
        <w:color w:val="324851" w:themeColor="accent1"/>
        <w:sz w:val="44"/>
      </w:rPr>
    </w:lvl>
    <w:lvl w:ilvl="1">
      <w:start w:val="1"/>
      <w:numFmt w:val="none"/>
      <w:suff w:val="nothing"/>
      <w:lvlText w:val=""/>
      <w:lvlJc w:val="left"/>
      <w:pPr>
        <w:ind w:left="0" w:hanging="32766"/>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10802105"/>
    <w:multiLevelType w:val="hybridMultilevel"/>
    <w:tmpl w:val="C85ADD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68D4A13"/>
    <w:multiLevelType w:val="multilevel"/>
    <w:tmpl w:val="59A6B200"/>
    <w:numStyleLink w:val="ListTableBullet"/>
  </w:abstractNum>
  <w:abstractNum w:abstractNumId="10" w15:restartNumberingAfterBreak="0">
    <w:nsid w:val="1723402A"/>
    <w:multiLevelType w:val="multilevel"/>
    <w:tmpl w:val="A4A86740"/>
    <w:lvl w:ilvl="0">
      <w:start w:val="1"/>
      <w:numFmt w:val="none"/>
      <w:pStyle w:val="9TableText"/>
      <w:lvlText w:val=""/>
      <w:lvlJc w:val="left"/>
      <w:pPr>
        <w:tabs>
          <w:tab w:val="num" w:pos="0"/>
        </w:tabs>
        <w:ind w:left="0" w:firstLine="0"/>
      </w:pPr>
    </w:lvl>
    <w:lvl w:ilvl="1">
      <w:start w:val="1"/>
      <w:numFmt w:val="decimal"/>
      <w:pStyle w:val="9aTableHeading"/>
      <w:lvlText w:val="%2%1."/>
      <w:lvlJc w:val="left"/>
      <w:pPr>
        <w:tabs>
          <w:tab w:val="num" w:pos="284"/>
        </w:tabs>
        <w:ind w:left="567" w:hanging="283"/>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1" w15:restartNumberingAfterBreak="0">
    <w:nsid w:val="229273FC"/>
    <w:multiLevelType w:val="multilevel"/>
    <w:tmpl w:val="71203F7E"/>
    <w:name w:val="Headings2"/>
    <w:lvl w:ilvl="0">
      <w:start w:val="1"/>
      <w:numFmt w:val="decimal"/>
      <w:lvlText w:val="Chapter %1"/>
      <w:lvlJc w:val="left"/>
      <w:pPr>
        <w:ind w:left="0" w:firstLine="0"/>
      </w:pPr>
    </w:lvl>
    <w:lvl w:ilvl="1">
      <w:start w:val="1"/>
      <w:numFmt w:val="decimal"/>
      <w:lvlText w:val="%2"/>
      <w:lvlJc w:val="left"/>
      <w:pPr>
        <w:tabs>
          <w:tab w:val="num" w:pos="1134"/>
        </w:tabs>
        <w:ind w:left="1134" w:hanging="1134"/>
      </w:pPr>
    </w:lvl>
    <w:lvl w:ilvl="2">
      <w:start w:val="1"/>
      <w:numFmt w:val="decimal"/>
      <w:lvlText w:val="%2.%3"/>
      <w:lvlJc w:val="left"/>
      <w:pPr>
        <w:tabs>
          <w:tab w:val="num" w:pos="1134"/>
        </w:tabs>
        <w:ind w:left="1134" w:hanging="1134"/>
      </w:pPr>
    </w:lvl>
    <w:lvl w:ilvl="3">
      <w:start w:val="1"/>
      <w:numFmt w:val="decimal"/>
      <w:lvlText w:val="%2.%3.%4"/>
      <w:lvlJc w:val="left"/>
      <w:pPr>
        <w:tabs>
          <w:tab w:val="num" w:pos="1134"/>
        </w:tabs>
        <w:ind w:left="1134" w:hanging="1134"/>
      </w:pPr>
    </w:lvl>
    <w:lvl w:ilvl="4">
      <w:start w:val="1"/>
      <w:numFmt w:val="decimal"/>
      <w:lvlText w:val="%2.%3.%4.%5"/>
      <w:lvlJc w:val="left"/>
      <w:pPr>
        <w:tabs>
          <w:tab w:val="num" w:pos="1134"/>
        </w:tabs>
        <w:ind w:left="1134" w:hanging="1134"/>
      </w:pPr>
    </w:lvl>
    <w:lvl w:ilvl="5">
      <w:start w:val="1"/>
      <w:numFmt w:val="decimal"/>
      <w:lvlText w:val="%2.%3.%4.%5.%6"/>
      <w:lvlJc w:val="left"/>
      <w:pPr>
        <w:tabs>
          <w:tab w:val="num" w:pos="1134"/>
        </w:tabs>
        <w:ind w:left="1134" w:hanging="1134"/>
      </w:pPr>
    </w:lvl>
    <w:lvl w:ilvl="6">
      <w:start w:val="1"/>
      <w:numFmt w:val="decimal"/>
      <w:lvlText w:val="%2.%3.%4.%5.%6.%7"/>
      <w:lvlJc w:val="left"/>
      <w:pPr>
        <w:tabs>
          <w:tab w:val="num" w:pos="1134"/>
        </w:tabs>
        <w:ind w:left="1134" w:hanging="1134"/>
      </w:pPr>
    </w:lvl>
    <w:lvl w:ilvl="7">
      <w:start w:val="1"/>
      <w:numFmt w:val="decimal"/>
      <w:lvlText w:val="%2.%3.%4.%5.%6.%7.%8"/>
      <w:lvlJc w:val="left"/>
      <w:pPr>
        <w:tabs>
          <w:tab w:val="num" w:pos="1134"/>
        </w:tabs>
        <w:ind w:left="1134" w:hanging="1134"/>
      </w:pPr>
    </w:lvl>
    <w:lvl w:ilvl="8">
      <w:start w:val="1"/>
      <w:numFmt w:val="decimal"/>
      <w:lvlText w:val="%2.%3.%4.%5.%6.%7.%8.%9"/>
      <w:lvlJc w:val="left"/>
      <w:pPr>
        <w:tabs>
          <w:tab w:val="num" w:pos="1134"/>
        </w:tabs>
        <w:ind w:left="1134" w:hanging="1134"/>
      </w:pPr>
    </w:lvl>
  </w:abstractNum>
  <w:abstractNum w:abstractNumId="12" w15:restartNumberingAfterBreak="0">
    <w:nsid w:val="22C461C2"/>
    <w:multiLevelType w:val="hybridMultilevel"/>
    <w:tmpl w:val="B86CB340"/>
    <w:lvl w:ilvl="0" w:tplc="C010AEA4">
      <w:start w:val="1"/>
      <w:numFmt w:val="bullet"/>
      <w:lvlText w:val=""/>
      <w:lvlJc w:val="left"/>
      <w:pPr>
        <w:tabs>
          <w:tab w:val="num" w:pos="720"/>
        </w:tabs>
        <w:ind w:left="720" w:hanging="360"/>
      </w:pPr>
      <w:rPr>
        <w:rFonts w:ascii="Wingdings" w:hAnsi="Wingdings" w:hint="default"/>
      </w:rPr>
    </w:lvl>
    <w:lvl w:ilvl="1" w:tplc="56462A84">
      <w:start w:val="1"/>
      <w:numFmt w:val="bullet"/>
      <w:pStyle w:val="BodyBullet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741D40"/>
    <w:multiLevelType w:val="multilevel"/>
    <w:tmpl w:val="DB70D304"/>
    <w:styleLink w:val="ListNumber"/>
    <w:lvl w:ilvl="0">
      <w:start w:val="1"/>
      <w:numFmt w:val="decimal"/>
      <w:pStyle w:val="ListNumber0"/>
      <w:lvlText w:val="%1."/>
      <w:lvlJc w:val="left"/>
      <w:pPr>
        <w:tabs>
          <w:tab w:val="num" w:pos="567"/>
        </w:tabs>
        <w:ind w:left="567" w:hanging="567"/>
      </w:pPr>
      <w:rPr>
        <w:rFonts w:asciiTheme="minorHAnsi" w:hAnsiTheme="minorHAnsi"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ListNumber2"/>
      <w:lvlText w:val="%2."/>
      <w:lvlJc w:val="left"/>
      <w:pPr>
        <w:tabs>
          <w:tab w:val="num" w:pos="1134"/>
        </w:tabs>
        <w:ind w:left="1134" w:hanging="567"/>
      </w:pPr>
      <w:rPr>
        <w:rFonts w:asciiTheme="minorHAnsi" w:hAnsiTheme="minorHAnsi" w:hint="default"/>
        <w:b w:val="0"/>
        <w:i w:val="0"/>
        <w:color w:val="auto"/>
        <w:sz w:val="22"/>
      </w:rPr>
    </w:lvl>
    <w:lvl w:ilvl="2">
      <w:start w:val="1"/>
      <w:numFmt w:val="lowerRoman"/>
      <w:pStyle w:val="ListNumber3"/>
      <w:lvlText w:val="%3."/>
      <w:lvlJc w:val="left"/>
      <w:pPr>
        <w:tabs>
          <w:tab w:val="num" w:pos="1701"/>
        </w:tabs>
        <w:ind w:left="1701" w:hanging="567"/>
      </w:pPr>
      <w:rPr>
        <w:rFonts w:asciiTheme="minorHAnsi" w:hAnsiTheme="minorHAnsi" w:hint="default"/>
        <w:b w:val="0"/>
        <w:i w:val="0"/>
        <w:color w:val="auto"/>
        <w:sz w:val="22"/>
      </w:rPr>
    </w:lvl>
    <w:lvl w:ilvl="3">
      <w:start w:val="1"/>
      <w:numFmt w:val="upperLetter"/>
      <w:pStyle w:val="ListNumber4"/>
      <w:lvlText w:val="%4."/>
      <w:lvlJc w:val="left"/>
      <w:pPr>
        <w:tabs>
          <w:tab w:val="num" w:pos="2268"/>
        </w:tabs>
        <w:ind w:left="2268" w:hanging="567"/>
      </w:pPr>
      <w:rPr>
        <w:rFonts w:asciiTheme="minorHAnsi" w:hAnsiTheme="minorHAnsi" w:hint="default"/>
        <w:b w:val="0"/>
        <w:i w:val="0"/>
        <w:color w:val="auto"/>
        <w:sz w:val="22"/>
      </w:rPr>
    </w:lvl>
    <w:lvl w:ilvl="4">
      <w:start w:val="1"/>
      <w:numFmt w:val="upperRoman"/>
      <w:pStyle w:val="ListNumber5"/>
      <w:lvlText w:val="%5."/>
      <w:lvlJc w:val="left"/>
      <w:pPr>
        <w:tabs>
          <w:tab w:val="num" w:pos="2835"/>
        </w:tabs>
        <w:ind w:left="2835" w:hanging="567"/>
      </w:pPr>
      <w:rPr>
        <w:rFonts w:asciiTheme="minorHAnsi" w:hAnsiTheme="minorHAnsi" w:hint="default"/>
        <w:b w:val="0"/>
        <w:i w:val="0"/>
        <w:color w:val="auto"/>
        <w:sz w:val="22"/>
      </w:rPr>
    </w:lvl>
    <w:lvl w:ilvl="5">
      <w:start w:val="1"/>
      <w:numFmt w:val="decimal"/>
      <w:pStyle w:val="ListNumber6"/>
      <w:lvlText w:val="%6."/>
      <w:lvlJc w:val="left"/>
      <w:pPr>
        <w:tabs>
          <w:tab w:val="num" w:pos="3402"/>
        </w:tabs>
        <w:ind w:left="3402" w:hanging="567"/>
      </w:pPr>
      <w:rPr>
        <w:rFonts w:asciiTheme="minorHAnsi" w:hAnsiTheme="minorHAnsi" w:hint="default"/>
        <w:b w:val="0"/>
        <w:i w:val="0"/>
        <w:color w:val="auto"/>
        <w:sz w:val="22"/>
      </w:rPr>
    </w:lvl>
    <w:lvl w:ilvl="6">
      <w:start w:val="1"/>
      <w:numFmt w:val="none"/>
      <w:suff w:val="nothing"/>
      <w:lvlText w:val="%7"/>
      <w:lvlJc w:val="left"/>
      <w:pPr>
        <w:ind w:left="-1417" w:firstLine="0"/>
      </w:pPr>
      <w:rPr>
        <w:rFonts w:hint="default"/>
        <w:color w:val="E1001A"/>
      </w:rPr>
    </w:lvl>
    <w:lvl w:ilvl="7">
      <w:start w:val="1"/>
      <w:numFmt w:val="none"/>
      <w:suff w:val="nothing"/>
      <w:lvlText w:val="%8"/>
      <w:lvlJc w:val="left"/>
      <w:pPr>
        <w:ind w:left="-1417" w:firstLine="0"/>
      </w:pPr>
      <w:rPr>
        <w:rFonts w:hint="default"/>
        <w:color w:val="E1001A"/>
        <w:sz w:val="20"/>
      </w:rPr>
    </w:lvl>
    <w:lvl w:ilvl="8">
      <w:start w:val="1"/>
      <w:numFmt w:val="none"/>
      <w:suff w:val="nothing"/>
      <w:lvlText w:val="%9"/>
      <w:lvlJc w:val="left"/>
      <w:pPr>
        <w:ind w:left="-1417" w:firstLine="0"/>
      </w:pPr>
      <w:rPr>
        <w:rFonts w:hint="default"/>
        <w:color w:val="E1001A"/>
      </w:rPr>
    </w:lvl>
  </w:abstractNum>
  <w:abstractNum w:abstractNumId="14" w15:restartNumberingAfterBreak="0">
    <w:nsid w:val="285B5392"/>
    <w:multiLevelType w:val="multilevel"/>
    <w:tmpl w:val="960CDAFC"/>
    <w:numStyleLink w:val="ListTableNumber"/>
  </w:abstractNum>
  <w:abstractNum w:abstractNumId="15" w15:restartNumberingAfterBreak="0">
    <w:nsid w:val="2ACC7C1F"/>
    <w:multiLevelType w:val="hybridMultilevel"/>
    <w:tmpl w:val="974484F2"/>
    <w:lvl w:ilvl="0" w:tplc="AC26D7D8">
      <w:start w:val="1"/>
      <w:numFmt w:val="bullet"/>
      <w:pStyle w:val="BQBullet"/>
      <w:lvlText w:val=""/>
      <w:lvlJc w:val="left"/>
      <w:pPr>
        <w:ind w:left="360" w:hanging="360"/>
      </w:pPr>
      <w:rPr>
        <w:rFonts w:ascii="Wingdings" w:hAnsi="Wingdings" w:hint="default"/>
      </w:rPr>
    </w:lvl>
    <w:lvl w:ilvl="1" w:tplc="C1AA5004">
      <w:start w:val="1"/>
      <w:numFmt w:val="bullet"/>
      <w:pStyle w:val="BQbullet2"/>
      <w:lvlText w:val="­"/>
      <w:lvlJc w:val="left"/>
      <w:pPr>
        <w:ind w:left="1080" w:hanging="360"/>
      </w:pPr>
      <w:rPr>
        <w:rFonts w:ascii="Courier New" w:hAnsi="Courier New" w:hint="default"/>
      </w:rPr>
    </w:lvl>
    <w:lvl w:ilvl="2" w:tplc="0C090005">
      <w:start w:val="1"/>
      <w:numFmt w:val="bullet"/>
      <w:lvlText w:val=""/>
      <w:lvlJc w:val="left"/>
      <w:pPr>
        <w:ind w:left="1800" w:hanging="360"/>
      </w:pPr>
      <w:rPr>
        <w:rFonts w:ascii="Wingdings" w:hAnsi="Wingdings" w:hint="default"/>
      </w:rPr>
    </w:lvl>
    <w:lvl w:ilvl="3" w:tplc="C1AA5004">
      <w:start w:val="1"/>
      <w:numFmt w:val="bullet"/>
      <w:lvlText w:val="­"/>
      <w:lvlJc w:val="left"/>
      <w:pPr>
        <w:ind w:left="2520" w:hanging="360"/>
      </w:pPr>
      <w:rPr>
        <w:rFonts w:ascii="Courier New" w:hAnsi="Courier New" w:hint="default"/>
      </w:rPr>
    </w:lvl>
    <w:lvl w:ilvl="4" w:tplc="C1AA5004">
      <w:start w:val="1"/>
      <w:numFmt w:val="bullet"/>
      <w:lvlText w:val="­"/>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1D73032"/>
    <w:multiLevelType w:val="hybridMultilevel"/>
    <w:tmpl w:val="625036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4E503A9"/>
    <w:multiLevelType w:val="hybridMultilevel"/>
    <w:tmpl w:val="71509972"/>
    <w:lvl w:ilvl="0" w:tplc="190E9750">
      <w:start w:val="1"/>
      <w:numFmt w:val="bullet"/>
      <w:pStyle w:val="Bulletpoints"/>
      <w:lvlText w:val=""/>
      <w:lvlJc w:val="left"/>
      <w:pPr>
        <w:ind w:left="720" w:hanging="360"/>
      </w:pPr>
      <w:rPr>
        <w:rFonts w:ascii="Symbol" w:hAnsi="Symbol" w:hint="default"/>
        <w:color w:val="003E7E"/>
      </w:rPr>
    </w:lvl>
    <w:lvl w:ilvl="1" w:tplc="C11E1C3C">
      <w:start w:val="1"/>
      <w:numFmt w:val="bullet"/>
      <w:lvlText w:val="–"/>
      <w:lvlJc w:val="left"/>
      <w:pPr>
        <w:ind w:left="1440" w:hanging="360"/>
      </w:pPr>
      <w:rPr>
        <w:rFonts w:ascii="Arial" w:hAnsi="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53912ED"/>
    <w:multiLevelType w:val="multilevel"/>
    <w:tmpl w:val="D3BC7B6E"/>
    <w:styleLink w:val="ListBullet"/>
    <w:lvl w:ilvl="0">
      <w:start w:val="1"/>
      <w:numFmt w:val="bullet"/>
      <w:pStyle w:val="ListBullet0"/>
      <w:lvlText w:val=""/>
      <w:lvlJc w:val="left"/>
      <w:pPr>
        <w:tabs>
          <w:tab w:val="num" w:pos="284"/>
        </w:tabs>
        <w:ind w:left="284" w:hanging="284"/>
      </w:pPr>
      <w:rPr>
        <w:rFonts w:ascii="Wingdings" w:hAnsi="Wingdings" w:hint="default"/>
        <w:b w:val="0"/>
        <w:i w:val="0"/>
        <w:color w:val="auto"/>
        <w:sz w:val="22"/>
        <w:szCs w:val="20"/>
      </w:rPr>
    </w:lvl>
    <w:lvl w:ilvl="1">
      <w:start w:val="1"/>
      <w:numFmt w:val="bullet"/>
      <w:pStyle w:val="ListBullet2"/>
      <w:lvlText w:val="–"/>
      <w:lvlJc w:val="left"/>
      <w:pPr>
        <w:tabs>
          <w:tab w:val="num" w:pos="567"/>
        </w:tabs>
        <w:ind w:left="567" w:hanging="283"/>
      </w:pPr>
      <w:rPr>
        <w:rFonts w:asciiTheme="minorHAnsi" w:hAnsiTheme="minorHAnsi" w:hint="default"/>
        <w:caps w:val="0"/>
        <w:strike w:val="0"/>
        <w:dstrike w:val="0"/>
        <w:vanish w:val="0"/>
        <w:color w:val="auto"/>
        <w:sz w:val="22"/>
        <w:u w:val="none"/>
        <w:vertAlign w:val="baseline"/>
      </w:rPr>
    </w:lvl>
    <w:lvl w:ilvl="2">
      <w:start w:val="1"/>
      <w:numFmt w:val="bullet"/>
      <w:pStyle w:val="ListBullet3"/>
      <w:lvlText w:val="□"/>
      <w:lvlJc w:val="left"/>
      <w:pPr>
        <w:tabs>
          <w:tab w:val="num" w:pos="851"/>
        </w:tabs>
        <w:ind w:left="851" w:hanging="284"/>
      </w:pPr>
      <w:rPr>
        <w:rFonts w:ascii="Calibri Light" w:hAnsi="Calibri Light" w:hint="default"/>
        <w:color w:val="auto"/>
        <w:sz w:val="22"/>
      </w:rPr>
    </w:lvl>
    <w:lvl w:ilvl="3">
      <w:start w:val="1"/>
      <w:numFmt w:val="bullet"/>
      <w:pStyle w:val="ListBullet4"/>
      <w:lvlText w:val="–"/>
      <w:lvlJc w:val="left"/>
      <w:pPr>
        <w:tabs>
          <w:tab w:val="num" w:pos="1134"/>
        </w:tabs>
        <w:ind w:left="1134" w:hanging="283"/>
      </w:pPr>
      <w:rPr>
        <w:rFonts w:asciiTheme="minorHAnsi" w:hAnsiTheme="minorHAnsi" w:hint="default"/>
        <w:caps w:val="0"/>
        <w:strike w:val="0"/>
        <w:dstrike w:val="0"/>
        <w:vanish w:val="0"/>
        <w:color w:val="auto"/>
        <w:sz w:val="22"/>
        <w:u w:val="none"/>
        <w:vertAlign w:val="baseline"/>
      </w:rPr>
    </w:lvl>
    <w:lvl w:ilvl="4">
      <w:start w:val="1"/>
      <w:numFmt w:val="bullet"/>
      <w:pStyle w:val="ListBullet5"/>
      <w:lvlText w:val=""/>
      <w:lvlJc w:val="left"/>
      <w:pPr>
        <w:tabs>
          <w:tab w:val="num" w:pos="1418"/>
        </w:tabs>
        <w:ind w:left="1418" w:hanging="284"/>
      </w:pPr>
      <w:rPr>
        <w:rFonts w:ascii="Wingdings" w:hAnsi="Wingdings" w:hint="default"/>
        <w:color w:val="auto"/>
        <w:sz w:val="22"/>
      </w:rPr>
    </w:lvl>
    <w:lvl w:ilvl="5">
      <w:start w:val="1"/>
      <w:numFmt w:val="bullet"/>
      <w:pStyle w:val="ListBullet6"/>
      <w:lvlText w:val="–"/>
      <w:lvlJc w:val="left"/>
      <w:pPr>
        <w:tabs>
          <w:tab w:val="num" w:pos="1701"/>
        </w:tabs>
        <w:ind w:left="1701" w:hanging="283"/>
      </w:pPr>
      <w:rPr>
        <w:rFonts w:asciiTheme="minorHAnsi" w:hAnsiTheme="minorHAnsi" w:cs="Times New Roman" w:hint="default"/>
        <w:caps w:val="0"/>
        <w:strike w:val="0"/>
        <w:dstrike w:val="0"/>
        <w:vanish w:val="0"/>
        <w:color w:val="auto"/>
        <w:sz w:val="22"/>
        <w:u w:val="none"/>
        <w:vertAlign w:val="baseline"/>
      </w:rPr>
    </w:lvl>
    <w:lvl w:ilvl="6">
      <w:start w:val="1"/>
      <w:numFmt w:val="none"/>
      <w:suff w:val="nothing"/>
      <w:lvlText w:val=""/>
      <w:lvlJc w:val="left"/>
      <w:pPr>
        <w:ind w:left="0" w:firstLine="0"/>
      </w:pPr>
      <w:rPr>
        <w:rFonts w:hint="default"/>
        <w:color w:val="auto"/>
        <w:sz w:val="20"/>
      </w:rPr>
    </w:lvl>
    <w:lvl w:ilvl="7">
      <w:start w:val="1"/>
      <w:numFmt w:val="none"/>
      <w:suff w:val="nothing"/>
      <w:lvlText w:val="%8"/>
      <w:lvlJc w:val="left"/>
      <w:pPr>
        <w:ind w:left="0" w:firstLine="0"/>
      </w:pPr>
      <w:rPr>
        <w:rFonts w:hint="default"/>
        <w:color w:val="000000"/>
        <w:sz w:val="20"/>
      </w:rPr>
    </w:lvl>
    <w:lvl w:ilvl="8">
      <w:start w:val="1"/>
      <w:numFmt w:val="none"/>
      <w:suff w:val="nothing"/>
      <w:lvlText w:val=""/>
      <w:lvlJc w:val="left"/>
      <w:pPr>
        <w:ind w:left="0" w:firstLine="0"/>
      </w:pPr>
      <w:rPr>
        <w:rFonts w:hint="default"/>
      </w:rPr>
    </w:lvl>
  </w:abstractNum>
  <w:abstractNum w:abstractNumId="19" w15:restartNumberingAfterBreak="0">
    <w:nsid w:val="369C33DA"/>
    <w:multiLevelType w:val="hybridMultilevel"/>
    <w:tmpl w:val="FA426122"/>
    <w:lvl w:ilvl="0" w:tplc="0C090017">
      <w:start w:val="1"/>
      <w:numFmt w:val="lowerLetter"/>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8972D91"/>
    <w:multiLevelType w:val="hybridMultilevel"/>
    <w:tmpl w:val="A1DE6B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0071FAE"/>
    <w:multiLevelType w:val="multilevel"/>
    <w:tmpl w:val="9A509B6C"/>
    <w:styleLink w:val="ListNumberedHeadings"/>
    <w:lvl w:ilvl="0">
      <w:start w:val="1"/>
      <w:numFmt w:val="decimal"/>
      <w:lvlText w:val="%1"/>
      <w:lvlJc w:val="left"/>
      <w:pPr>
        <w:tabs>
          <w:tab w:val="num" w:pos="1134"/>
        </w:tabs>
        <w:ind w:left="1134" w:hanging="1134"/>
      </w:pPr>
      <w:rPr>
        <w:rFonts w:asciiTheme="majorHAnsi" w:hAnsiTheme="majorHAnsi" w:hint="default"/>
        <w:color w:val="auto"/>
      </w:rPr>
    </w:lvl>
    <w:lvl w:ilvl="1">
      <w:start w:val="1"/>
      <w:numFmt w:val="decimal"/>
      <w:lvlText w:val="%1.%2"/>
      <w:lvlJc w:val="left"/>
      <w:pPr>
        <w:tabs>
          <w:tab w:val="num" w:pos="1134"/>
        </w:tabs>
        <w:ind w:left="1134" w:hanging="1134"/>
      </w:pPr>
      <w:rPr>
        <w:rFonts w:asciiTheme="majorHAnsi" w:hAnsiTheme="majorHAnsi" w:hint="default"/>
        <w:color w:val="324851" w:themeColor="accent1"/>
      </w:rPr>
    </w:lvl>
    <w:lvl w:ilvl="2">
      <w:start w:val="1"/>
      <w:numFmt w:val="decimal"/>
      <w:lvlText w:val="%1.%2.%3"/>
      <w:lvlJc w:val="left"/>
      <w:pPr>
        <w:tabs>
          <w:tab w:val="num" w:pos="1134"/>
        </w:tabs>
        <w:ind w:left="1134" w:hanging="1134"/>
      </w:pPr>
      <w:rPr>
        <w:rFonts w:asciiTheme="majorHAnsi" w:hAnsiTheme="majorHAnsi" w:hint="default"/>
        <w:color w:val="324851" w:themeColor="accent1"/>
      </w:rPr>
    </w:lvl>
    <w:lvl w:ilvl="3">
      <w:start w:val="1"/>
      <w:numFmt w:val="decimal"/>
      <w:lvlText w:val="%1.%2.%3.%4"/>
      <w:lvlJc w:val="left"/>
      <w:pPr>
        <w:tabs>
          <w:tab w:val="num" w:pos="1134"/>
        </w:tabs>
        <w:ind w:left="1134" w:hanging="1134"/>
      </w:pPr>
      <w:rPr>
        <w:rFonts w:asciiTheme="majorHAnsi" w:hAnsiTheme="majorHAnsi" w:hint="default"/>
        <w:color w:val="122872" w:themeColor="accent3"/>
        <w:sz w:val="24"/>
      </w:rPr>
    </w:lvl>
    <w:lvl w:ilvl="4">
      <w:start w:val="1"/>
      <w:numFmt w:val="decimal"/>
      <w:lvlText w:val="%1.%2.%3.%4.%5"/>
      <w:lvlJc w:val="left"/>
      <w:pPr>
        <w:tabs>
          <w:tab w:val="num" w:pos="1134"/>
        </w:tabs>
        <w:ind w:left="1134" w:hanging="1134"/>
      </w:pPr>
      <w:rPr>
        <w:rFonts w:asciiTheme="majorHAnsi" w:hAnsiTheme="majorHAnsi" w:hint="default"/>
        <w:color w:val="122872" w:themeColor="accent3"/>
        <w:sz w:val="22"/>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22" w15:restartNumberingAfterBreak="0">
    <w:nsid w:val="44C86130"/>
    <w:multiLevelType w:val="multilevel"/>
    <w:tmpl w:val="E4CC21BE"/>
    <w:lvl w:ilvl="0">
      <w:start w:val="1"/>
      <w:numFmt w:val="decimal"/>
      <w:pStyle w:val="BQHeading1"/>
      <w:lvlText w:val="%1."/>
      <w:lvlJc w:val="left"/>
      <w:pPr>
        <w:ind w:left="851" w:hanging="851"/>
      </w:pPr>
      <w:rPr>
        <w:rFonts w:hint="default"/>
      </w:rPr>
    </w:lvl>
    <w:lvl w:ilvl="1">
      <w:start w:val="1"/>
      <w:numFmt w:val="decimal"/>
      <w:pStyle w:val="BQHeading2"/>
      <w:lvlText w:val="%1.%2."/>
      <w:lvlJc w:val="left"/>
      <w:pPr>
        <w:ind w:left="3829" w:hanging="851"/>
      </w:pPr>
      <w:rPr>
        <w:rFonts w:hint="default"/>
      </w:rPr>
    </w:lvl>
    <w:lvl w:ilvl="2">
      <w:start w:val="1"/>
      <w:numFmt w:val="decimal"/>
      <w:pStyle w:val="BQHeading3"/>
      <w:lvlText w:val="%1.%2.%3."/>
      <w:lvlJc w:val="left"/>
      <w:pPr>
        <w:ind w:left="3260"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6CB0D95"/>
    <w:multiLevelType w:val="hybridMultilevel"/>
    <w:tmpl w:val="A2423E26"/>
    <w:lvl w:ilvl="0" w:tplc="A22C0058">
      <w:start w:val="1"/>
      <w:numFmt w:val="lowerLetter"/>
      <w:lvlText w:val="%1)"/>
      <w:lvlJc w:val="left"/>
      <w:pPr>
        <w:ind w:left="1080" w:hanging="360"/>
      </w:pPr>
      <w:rPr>
        <w:rFonts w:ascii="Public Sans" w:eastAsiaTheme="minorHAnsi" w:hAnsi="Public Sans" w:cstheme="minorBidi"/>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48011657"/>
    <w:multiLevelType w:val="multilevel"/>
    <w:tmpl w:val="E59AE5F8"/>
    <w:styleLink w:val="ListAppendix"/>
    <w:lvl w:ilvl="0">
      <w:start w:val="1"/>
      <w:numFmt w:val="upperLetter"/>
      <w:pStyle w:val="AppendixTitle"/>
      <w:lvlText w:val="Appendix %1"/>
      <w:lvlJc w:val="left"/>
      <w:pPr>
        <w:tabs>
          <w:tab w:val="num" w:pos="3402"/>
        </w:tabs>
        <w:ind w:left="3402" w:hanging="3402"/>
      </w:pPr>
      <w:rPr>
        <w:rFonts w:hint="default"/>
      </w:rPr>
    </w:lvl>
    <w:lvl w:ilvl="1">
      <w:start w:val="1"/>
      <w:numFmt w:val="none"/>
      <w:suff w:val="nothing"/>
      <w:lvlText w:val=""/>
      <w:lvlJc w:val="left"/>
      <w:pPr>
        <w:ind w:left="-32767"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32767" w:firstLine="0"/>
      </w:pPr>
      <w:rPr>
        <w:rFonts w:hint="default"/>
      </w:rPr>
    </w:lvl>
    <w:lvl w:ilvl="4">
      <w:start w:val="1"/>
      <w:numFmt w:val="none"/>
      <w:suff w:val="nothing"/>
      <w:lvlText w:val=""/>
      <w:lvlJc w:val="left"/>
      <w:pPr>
        <w:ind w:left="-32767" w:firstLine="0"/>
      </w:pPr>
      <w:rPr>
        <w:rFonts w:hint="default"/>
      </w:rPr>
    </w:lvl>
    <w:lvl w:ilvl="5">
      <w:start w:val="1"/>
      <w:numFmt w:val="none"/>
      <w:suff w:val="nothing"/>
      <w:lvlText w:val=""/>
      <w:lvlJc w:val="left"/>
      <w:pPr>
        <w:ind w:left="-32767"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25" w15:restartNumberingAfterBreak="0">
    <w:nsid w:val="4D090CE4"/>
    <w:multiLevelType w:val="hybridMultilevel"/>
    <w:tmpl w:val="86EA23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03A1338"/>
    <w:multiLevelType w:val="hybridMultilevel"/>
    <w:tmpl w:val="D42E997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1B973BA"/>
    <w:multiLevelType w:val="hybridMultilevel"/>
    <w:tmpl w:val="F88CD7F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8" w15:restartNumberingAfterBreak="0">
    <w:nsid w:val="51F910B1"/>
    <w:multiLevelType w:val="hybridMultilevel"/>
    <w:tmpl w:val="BDBEB646"/>
    <w:lvl w:ilvl="0" w:tplc="3CE45B34">
      <w:start w:val="1"/>
      <w:numFmt w:val="upperLetter"/>
      <w:pStyle w:val="BQsections"/>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4C01E3E"/>
    <w:multiLevelType w:val="hybridMultilevel"/>
    <w:tmpl w:val="CF744822"/>
    <w:lvl w:ilvl="0" w:tplc="CF80D8B2">
      <w:start w:val="1"/>
      <w:numFmt w:val="decimal"/>
      <w:pStyle w:val="BQnumberedbullet"/>
      <w:lvlText w:val="%1."/>
      <w:lvlJc w:val="left"/>
      <w:pPr>
        <w:ind w:left="360" w:hanging="360"/>
      </w:pPr>
    </w:lvl>
    <w:lvl w:ilvl="1" w:tplc="0C090003" w:tentative="1">
      <w:start w:val="1"/>
      <w:numFmt w:val="lowerLetter"/>
      <w:lvlText w:val="%2."/>
      <w:lvlJc w:val="left"/>
      <w:pPr>
        <w:ind w:left="1080" w:hanging="360"/>
      </w:pPr>
    </w:lvl>
    <w:lvl w:ilvl="2" w:tplc="0C090005" w:tentative="1">
      <w:start w:val="1"/>
      <w:numFmt w:val="lowerRoman"/>
      <w:lvlText w:val="%3."/>
      <w:lvlJc w:val="right"/>
      <w:pPr>
        <w:ind w:left="1800" w:hanging="180"/>
      </w:pPr>
    </w:lvl>
    <w:lvl w:ilvl="3" w:tplc="0C090001" w:tentative="1">
      <w:start w:val="1"/>
      <w:numFmt w:val="decimal"/>
      <w:lvlText w:val="%4."/>
      <w:lvlJc w:val="left"/>
      <w:pPr>
        <w:ind w:left="2520" w:hanging="360"/>
      </w:pPr>
    </w:lvl>
    <w:lvl w:ilvl="4" w:tplc="0C090003" w:tentative="1">
      <w:start w:val="1"/>
      <w:numFmt w:val="lowerLetter"/>
      <w:lvlText w:val="%5."/>
      <w:lvlJc w:val="left"/>
      <w:pPr>
        <w:ind w:left="3240" w:hanging="360"/>
      </w:pPr>
    </w:lvl>
    <w:lvl w:ilvl="5" w:tplc="0C090005" w:tentative="1">
      <w:start w:val="1"/>
      <w:numFmt w:val="lowerRoman"/>
      <w:lvlText w:val="%6."/>
      <w:lvlJc w:val="right"/>
      <w:pPr>
        <w:ind w:left="3960" w:hanging="180"/>
      </w:pPr>
    </w:lvl>
    <w:lvl w:ilvl="6" w:tplc="0C090001" w:tentative="1">
      <w:start w:val="1"/>
      <w:numFmt w:val="decimal"/>
      <w:lvlText w:val="%7."/>
      <w:lvlJc w:val="left"/>
      <w:pPr>
        <w:ind w:left="4680" w:hanging="360"/>
      </w:pPr>
    </w:lvl>
    <w:lvl w:ilvl="7" w:tplc="0C090003" w:tentative="1">
      <w:start w:val="1"/>
      <w:numFmt w:val="lowerLetter"/>
      <w:lvlText w:val="%8."/>
      <w:lvlJc w:val="left"/>
      <w:pPr>
        <w:ind w:left="5400" w:hanging="360"/>
      </w:pPr>
    </w:lvl>
    <w:lvl w:ilvl="8" w:tplc="0C090005" w:tentative="1">
      <w:start w:val="1"/>
      <w:numFmt w:val="lowerRoman"/>
      <w:lvlText w:val="%9."/>
      <w:lvlJc w:val="right"/>
      <w:pPr>
        <w:ind w:left="6120" w:hanging="180"/>
      </w:pPr>
    </w:lvl>
  </w:abstractNum>
  <w:abstractNum w:abstractNumId="30" w15:restartNumberingAfterBreak="0">
    <w:nsid w:val="55777811"/>
    <w:multiLevelType w:val="hybridMultilevel"/>
    <w:tmpl w:val="A9C6AC34"/>
    <w:lvl w:ilvl="0" w:tplc="E4284DE2">
      <w:start w:val="1"/>
      <w:numFmt w:val="bullet"/>
      <w:pStyle w:val="A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DEE4326"/>
    <w:multiLevelType w:val="hybridMultilevel"/>
    <w:tmpl w:val="4760B3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E0A7944"/>
    <w:multiLevelType w:val="hybridMultilevel"/>
    <w:tmpl w:val="D0CE24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E716006"/>
    <w:multiLevelType w:val="hybridMultilevel"/>
    <w:tmpl w:val="079A1F44"/>
    <w:lvl w:ilvl="0" w:tplc="E2F0D63A">
      <w:start w:val="1"/>
      <w:numFmt w:val="lowerLetter"/>
      <w:lvlText w:val="(%1)"/>
      <w:lvlJc w:val="left"/>
      <w:pPr>
        <w:ind w:left="720" w:hanging="360"/>
      </w:pPr>
      <w:rPr>
        <w:rFonts w:hint="default"/>
      </w:rPr>
    </w:lvl>
    <w:lvl w:ilvl="1" w:tplc="EFC84B42">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26E5373"/>
    <w:multiLevelType w:val="multilevel"/>
    <w:tmpl w:val="960CDAFC"/>
    <w:styleLink w:val="ListTableNumber"/>
    <w:lvl w:ilvl="0">
      <w:start w:val="1"/>
      <w:numFmt w:val="decimal"/>
      <w:pStyle w:val="TableNumber"/>
      <w:lvlText w:val="%1."/>
      <w:lvlJc w:val="left"/>
      <w:pPr>
        <w:tabs>
          <w:tab w:val="num" w:pos="397"/>
        </w:tabs>
        <w:ind w:left="397" w:hanging="284"/>
      </w:pPr>
      <w:rPr>
        <w:rFonts w:asciiTheme="minorHAnsi" w:hAnsiTheme="minorHAnsi" w:hint="default"/>
        <w:b w:val="0"/>
        <w:i w:val="0"/>
        <w:color w:val="auto"/>
        <w:sz w:val="20"/>
        <w:szCs w:val="21"/>
      </w:rPr>
    </w:lvl>
    <w:lvl w:ilvl="1">
      <w:start w:val="1"/>
      <w:numFmt w:val="lowerLetter"/>
      <w:pStyle w:val="TableNumber2"/>
      <w:lvlText w:val="%2."/>
      <w:lvlJc w:val="left"/>
      <w:pPr>
        <w:tabs>
          <w:tab w:val="num" w:pos="680"/>
        </w:tabs>
        <w:ind w:left="680" w:hanging="283"/>
      </w:pPr>
      <w:rPr>
        <w:rFonts w:asciiTheme="minorHAnsi" w:hAnsiTheme="minorHAnsi" w:hint="default"/>
        <w:b w:val="0"/>
        <w:i w:val="0"/>
        <w:color w:val="auto"/>
        <w:sz w:val="20"/>
        <w:szCs w:val="21"/>
      </w:rPr>
    </w:lvl>
    <w:lvl w:ilvl="2">
      <w:start w:val="1"/>
      <w:numFmt w:val="none"/>
      <w:lvlText w:val=""/>
      <w:lvlJc w:val="left"/>
      <w:pPr>
        <w:tabs>
          <w:tab w:val="num" w:pos="0"/>
        </w:tabs>
        <w:ind w:left="0" w:firstLine="0"/>
      </w:pPr>
      <w:rPr>
        <w:rFonts w:ascii="Arial" w:hAnsi="Arial" w:hint="default"/>
        <w:b w:val="0"/>
        <w:i w:val="0"/>
        <w:sz w:val="18"/>
      </w:rPr>
    </w:lvl>
    <w:lvl w:ilvl="3">
      <w:start w:val="1"/>
      <w:numFmt w:val="none"/>
      <w:suff w:val="nothing"/>
      <w:lvlText w:val=""/>
      <w:lvlJc w:val="left"/>
      <w:pPr>
        <w:ind w:left="0" w:firstLine="0"/>
      </w:pPr>
      <w:rPr>
        <w:rFonts w:ascii="Arial" w:hAnsi="Arial" w:hint="default"/>
        <w:b w:val="0"/>
        <w:i w:val="0"/>
        <w:sz w:val="18"/>
      </w:rPr>
    </w:lvl>
    <w:lvl w:ilvl="4">
      <w:start w:val="1"/>
      <w:numFmt w:val="none"/>
      <w:suff w:val="nothing"/>
      <w:lvlText w:val=""/>
      <w:lvlJc w:val="left"/>
      <w:pPr>
        <w:ind w:left="0" w:firstLine="0"/>
      </w:pPr>
      <w:rPr>
        <w:rFonts w:ascii="Arial" w:hAnsi="Arial" w:hint="default"/>
        <w:b w:val="0"/>
        <w:i w:val="0"/>
        <w:sz w:val="18"/>
      </w:rPr>
    </w:lvl>
    <w:lvl w:ilvl="5">
      <w:start w:val="1"/>
      <w:numFmt w:val="none"/>
      <w:suff w:val="nothing"/>
      <w:lvlText w:val=""/>
      <w:lvlJc w:val="left"/>
      <w:pPr>
        <w:ind w:left="0" w:firstLine="0"/>
      </w:pPr>
      <w:rPr>
        <w:rFonts w:ascii="Arial" w:hAnsi="Arial" w:hint="default"/>
        <w:b w:val="0"/>
        <w:i w:val="0"/>
        <w:sz w:val="18"/>
      </w:rPr>
    </w:lvl>
    <w:lvl w:ilvl="6">
      <w:start w:val="1"/>
      <w:numFmt w:val="none"/>
      <w:suff w:val="nothing"/>
      <w:lvlText w:val="%7"/>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35" w15:restartNumberingAfterBreak="0">
    <w:nsid w:val="6580324F"/>
    <w:multiLevelType w:val="hybridMultilevel"/>
    <w:tmpl w:val="D9A669F8"/>
    <w:lvl w:ilvl="0" w:tplc="B7F6F5CC">
      <w:start w:val="1"/>
      <w:numFmt w:val="upperLetter"/>
      <w:pStyle w:val="BQletteredbulle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73C32DE"/>
    <w:multiLevelType w:val="hybridMultilevel"/>
    <w:tmpl w:val="60F27B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68555B51"/>
    <w:multiLevelType w:val="hybridMultilevel"/>
    <w:tmpl w:val="E8C467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38D2ED3"/>
    <w:multiLevelType w:val="hybridMultilevel"/>
    <w:tmpl w:val="2DD495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24"/>
  </w:num>
  <w:num w:numId="3">
    <w:abstractNumId w:val="18"/>
  </w:num>
  <w:num w:numId="4">
    <w:abstractNumId w:val="7"/>
  </w:num>
  <w:num w:numId="5">
    <w:abstractNumId w:val="13"/>
  </w:num>
  <w:num w:numId="6">
    <w:abstractNumId w:val="21"/>
  </w:num>
  <w:num w:numId="7">
    <w:abstractNumId w:val="2"/>
  </w:num>
  <w:num w:numId="8">
    <w:abstractNumId w:val="6"/>
  </w:num>
  <w:num w:numId="9">
    <w:abstractNumId w:val="34"/>
  </w:num>
  <w:num w:numId="10">
    <w:abstractNumId w:val="9"/>
  </w:num>
  <w:num w:numId="11">
    <w:abstractNumId w:val="14"/>
  </w:num>
  <w:num w:numId="12">
    <w:abstractNumId w:val="15"/>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num>
  <w:num w:numId="15">
    <w:abstractNumId w:val="12"/>
  </w:num>
  <w:num w:numId="16">
    <w:abstractNumId w:val="29"/>
  </w:num>
  <w:num w:numId="17">
    <w:abstractNumId w:val="28"/>
  </w:num>
  <w:num w:numId="18">
    <w:abstractNumId w:val="22"/>
  </w:num>
  <w:num w:numId="19">
    <w:abstractNumId w:val="35"/>
  </w:num>
  <w:num w:numId="20">
    <w:abstractNumId w:val="5"/>
  </w:num>
  <w:num w:numId="21">
    <w:abstractNumId w:val="17"/>
  </w:num>
  <w:num w:numId="22">
    <w:abstractNumId w:val="4"/>
  </w:num>
  <w:num w:numId="23">
    <w:abstractNumId w:val="1"/>
  </w:num>
  <w:num w:numId="24">
    <w:abstractNumId w:val="33"/>
  </w:num>
  <w:num w:numId="25">
    <w:abstractNumId w:val="37"/>
  </w:num>
  <w:num w:numId="26">
    <w:abstractNumId w:val="26"/>
  </w:num>
  <w:num w:numId="27">
    <w:abstractNumId w:val="32"/>
  </w:num>
  <w:num w:numId="28">
    <w:abstractNumId w:val="23"/>
  </w:num>
  <w:num w:numId="29">
    <w:abstractNumId w:val="27"/>
  </w:num>
  <w:num w:numId="30">
    <w:abstractNumId w:val="19"/>
  </w:num>
  <w:num w:numId="31">
    <w:abstractNumId w:val="8"/>
  </w:num>
  <w:num w:numId="32">
    <w:abstractNumId w:val="20"/>
  </w:num>
  <w:num w:numId="33">
    <w:abstractNumId w:val="38"/>
  </w:num>
  <w:num w:numId="34">
    <w:abstractNumId w:val="16"/>
  </w:num>
  <w:num w:numId="35">
    <w:abstractNumId w:val="31"/>
  </w:num>
  <w:num w:numId="36">
    <w:abstractNumId w:val="0"/>
  </w:num>
  <w:num w:numId="37">
    <w:abstractNumId w:val="36"/>
  </w:num>
  <w:num w:numId="38">
    <w:abstractNumId w:val="2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readOnly" w:enforcement="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86E"/>
    <w:rsid w:val="000019E8"/>
    <w:rsid w:val="00002861"/>
    <w:rsid w:val="0000347B"/>
    <w:rsid w:val="0000430B"/>
    <w:rsid w:val="000048CC"/>
    <w:rsid w:val="00005062"/>
    <w:rsid w:val="00005985"/>
    <w:rsid w:val="00006100"/>
    <w:rsid w:val="00006A9C"/>
    <w:rsid w:val="0000792C"/>
    <w:rsid w:val="00013B72"/>
    <w:rsid w:val="000168D4"/>
    <w:rsid w:val="00016AE1"/>
    <w:rsid w:val="0001758B"/>
    <w:rsid w:val="00017658"/>
    <w:rsid w:val="0001783B"/>
    <w:rsid w:val="00020265"/>
    <w:rsid w:val="00020407"/>
    <w:rsid w:val="0002050B"/>
    <w:rsid w:val="00020E49"/>
    <w:rsid w:val="00021BEC"/>
    <w:rsid w:val="00022FFC"/>
    <w:rsid w:val="00023758"/>
    <w:rsid w:val="00026BD8"/>
    <w:rsid w:val="00027ED6"/>
    <w:rsid w:val="00027F3E"/>
    <w:rsid w:val="00030C16"/>
    <w:rsid w:val="00030CF5"/>
    <w:rsid w:val="00031A84"/>
    <w:rsid w:val="000357BD"/>
    <w:rsid w:val="000359F4"/>
    <w:rsid w:val="00040869"/>
    <w:rsid w:val="00041C84"/>
    <w:rsid w:val="00041D11"/>
    <w:rsid w:val="000427B8"/>
    <w:rsid w:val="000427DD"/>
    <w:rsid w:val="00043E75"/>
    <w:rsid w:val="00045650"/>
    <w:rsid w:val="00045892"/>
    <w:rsid w:val="00047E63"/>
    <w:rsid w:val="00051E37"/>
    <w:rsid w:val="00052D41"/>
    <w:rsid w:val="00052DB5"/>
    <w:rsid w:val="00052E3A"/>
    <w:rsid w:val="00055B77"/>
    <w:rsid w:val="00061976"/>
    <w:rsid w:val="00062021"/>
    <w:rsid w:val="00063A52"/>
    <w:rsid w:val="00065270"/>
    <w:rsid w:val="00067DE7"/>
    <w:rsid w:val="00071C7D"/>
    <w:rsid w:val="000728BE"/>
    <w:rsid w:val="0007313C"/>
    <w:rsid w:val="00075273"/>
    <w:rsid w:val="00075A6A"/>
    <w:rsid w:val="0007665C"/>
    <w:rsid w:val="00076F97"/>
    <w:rsid w:val="000804FE"/>
    <w:rsid w:val="00080E3F"/>
    <w:rsid w:val="00080ED4"/>
    <w:rsid w:val="00082D81"/>
    <w:rsid w:val="000830D8"/>
    <w:rsid w:val="00083ED9"/>
    <w:rsid w:val="00085D29"/>
    <w:rsid w:val="000866C5"/>
    <w:rsid w:val="000870BB"/>
    <w:rsid w:val="00087920"/>
    <w:rsid w:val="00087D93"/>
    <w:rsid w:val="000951C1"/>
    <w:rsid w:val="000954FB"/>
    <w:rsid w:val="0009575F"/>
    <w:rsid w:val="0009582C"/>
    <w:rsid w:val="000974C3"/>
    <w:rsid w:val="00097AFC"/>
    <w:rsid w:val="000A356B"/>
    <w:rsid w:val="000A3AC2"/>
    <w:rsid w:val="000A4D3C"/>
    <w:rsid w:val="000A7205"/>
    <w:rsid w:val="000B18F5"/>
    <w:rsid w:val="000B3EBE"/>
    <w:rsid w:val="000B49AF"/>
    <w:rsid w:val="000B6FA1"/>
    <w:rsid w:val="000C0C22"/>
    <w:rsid w:val="000C0E38"/>
    <w:rsid w:val="000C1D1E"/>
    <w:rsid w:val="000C2279"/>
    <w:rsid w:val="000C28C9"/>
    <w:rsid w:val="000C30E3"/>
    <w:rsid w:val="000C3C9C"/>
    <w:rsid w:val="000C44ED"/>
    <w:rsid w:val="000C67FA"/>
    <w:rsid w:val="000C6825"/>
    <w:rsid w:val="000C686C"/>
    <w:rsid w:val="000D001C"/>
    <w:rsid w:val="000D03D2"/>
    <w:rsid w:val="000D651C"/>
    <w:rsid w:val="000D7030"/>
    <w:rsid w:val="000D758B"/>
    <w:rsid w:val="000E10E2"/>
    <w:rsid w:val="000E1127"/>
    <w:rsid w:val="000E1782"/>
    <w:rsid w:val="000E195F"/>
    <w:rsid w:val="000E5680"/>
    <w:rsid w:val="000E5B68"/>
    <w:rsid w:val="000E715B"/>
    <w:rsid w:val="000F13D6"/>
    <w:rsid w:val="000F40AE"/>
    <w:rsid w:val="000F4A35"/>
    <w:rsid w:val="000F5CA7"/>
    <w:rsid w:val="000F5E74"/>
    <w:rsid w:val="000F65AD"/>
    <w:rsid w:val="000F7607"/>
    <w:rsid w:val="000F7C91"/>
    <w:rsid w:val="00102C02"/>
    <w:rsid w:val="00103424"/>
    <w:rsid w:val="00104EA4"/>
    <w:rsid w:val="001050B0"/>
    <w:rsid w:val="001063C6"/>
    <w:rsid w:val="00106733"/>
    <w:rsid w:val="0010673A"/>
    <w:rsid w:val="00110144"/>
    <w:rsid w:val="00110AED"/>
    <w:rsid w:val="001122B8"/>
    <w:rsid w:val="0011272A"/>
    <w:rsid w:val="0011275A"/>
    <w:rsid w:val="001129AF"/>
    <w:rsid w:val="0011334B"/>
    <w:rsid w:val="001151A5"/>
    <w:rsid w:val="00115817"/>
    <w:rsid w:val="00116415"/>
    <w:rsid w:val="00121C20"/>
    <w:rsid w:val="00122D89"/>
    <w:rsid w:val="00124C0B"/>
    <w:rsid w:val="00125C9B"/>
    <w:rsid w:val="001265ED"/>
    <w:rsid w:val="00126C81"/>
    <w:rsid w:val="0013218E"/>
    <w:rsid w:val="00132E1E"/>
    <w:rsid w:val="00132E7C"/>
    <w:rsid w:val="001342B7"/>
    <w:rsid w:val="00134328"/>
    <w:rsid w:val="001366CE"/>
    <w:rsid w:val="00136A8D"/>
    <w:rsid w:val="001370D3"/>
    <w:rsid w:val="0014009E"/>
    <w:rsid w:val="001417BF"/>
    <w:rsid w:val="00141B3D"/>
    <w:rsid w:val="00143446"/>
    <w:rsid w:val="001444E8"/>
    <w:rsid w:val="00145CCD"/>
    <w:rsid w:val="0014606C"/>
    <w:rsid w:val="001462C1"/>
    <w:rsid w:val="00146D89"/>
    <w:rsid w:val="00147215"/>
    <w:rsid w:val="001505D8"/>
    <w:rsid w:val="0015103C"/>
    <w:rsid w:val="00151B88"/>
    <w:rsid w:val="00154790"/>
    <w:rsid w:val="00156423"/>
    <w:rsid w:val="00157388"/>
    <w:rsid w:val="001600E5"/>
    <w:rsid w:val="00161E28"/>
    <w:rsid w:val="00162EDD"/>
    <w:rsid w:val="00163CE0"/>
    <w:rsid w:val="0016404F"/>
    <w:rsid w:val="001666DE"/>
    <w:rsid w:val="00172E58"/>
    <w:rsid w:val="00180213"/>
    <w:rsid w:val="001805BE"/>
    <w:rsid w:val="00181B2B"/>
    <w:rsid w:val="001829A7"/>
    <w:rsid w:val="00182E03"/>
    <w:rsid w:val="00184D61"/>
    <w:rsid w:val="00185154"/>
    <w:rsid w:val="00185BAF"/>
    <w:rsid w:val="00187758"/>
    <w:rsid w:val="0019114D"/>
    <w:rsid w:val="0019147A"/>
    <w:rsid w:val="001915C0"/>
    <w:rsid w:val="00194911"/>
    <w:rsid w:val="00195F78"/>
    <w:rsid w:val="0019673C"/>
    <w:rsid w:val="001A12F5"/>
    <w:rsid w:val="001A29B2"/>
    <w:rsid w:val="001A2E2E"/>
    <w:rsid w:val="001A6E90"/>
    <w:rsid w:val="001B28B1"/>
    <w:rsid w:val="001C12AF"/>
    <w:rsid w:val="001C1E2F"/>
    <w:rsid w:val="001C4A61"/>
    <w:rsid w:val="001C4FF7"/>
    <w:rsid w:val="001C59CB"/>
    <w:rsid w:val="001D0F05"/>
    <w:rsid w:val="001D14A4"/>
    <w:rsid w:val="001D7646"/>
    <w:rsid w:val="001E01A6"/>
    <w:rsid w:val="001E064E"/>
    <w:rsid w:val="001E0CA6"/>
    <w:rsid w:val="001E0D8A"/>
    <w:rsid w:val="001E20AD"/>
    <w:rsid w:val="001E2C09"/>
    <w:rsid w:val="001E2DBC"/>
    <w:rsid w:val="001E3051"/>
    <w:rsid w:val="001E3997"/>
    <w:rsid w:val="001E46B7"/>
    <w:rsid w:val="001E668F"/>
    <w:rsid w:val="001E682F"/>
    <w:rsid w:val="001F01CF"/>
    <w:rsid w:val="001F06AF"/>
    <w:rsid w:val="001F0AA2"/>
    <w:rsid w:val="001F15A1"/>
    <w:rsid w:val="001F16CA"/>
    <w:rsid w:val="001F2CDD"/>
    <w:rsid w:val="001F38DD"/>
    <w:rsid w:val="001F3DB4"/>
    <w:rsid w:val="001F60C0"/>
    <w:rsid w:val="001F79B9"/>
    <w:rsid w:val="00202402"/>
    <w:rsid w:val="002044B2"/>
    <w:rsid w:val="00204825"/>
    <w:rsid w:val="002078C1"/>
    <w:rsid w:val="00207B66"/>
    <w:rsid w:val="002106C4"/>
    <w:rsid w:val="00210DEF"/>
    <w:rsid w:val="00211DB0"/>
    <w:rsid w:val="002121E4"/>
    <w:rsid w:val="0021459E"/>
    <w:rsid w:val="002168E8"/>
    <w:rsid w:val="00216A96"/>
    <w:rsid w:val="0021716F"/>
    <w:rsid w:val="00217D57"/>
    <w:rsid w:val="0022099E"/>
    <w:rsid w:val="00221260"/>
    <w:rsid w:val="00222215"/>
    <w:rsid w:val="00222662"/>
    <w:rsid w:val="002249DE"/>
    <w:rsid w:val="002255D2"/>
    <w:rsid w:val="0022567D"/>
    <w:rsid w:val="00227B88"/>
    <w:rsid w:val="00230D29"/>
    <w:rsid w:val="00231968"/>
    <w:rsid w:val="00231FDF"/>
    <w:rsid w:val="00233B7B"/>
    <w:rsid w:val="00235CC7"/>
    <w:rsid w:val="00236218"/>
    <w:rsid w:val="00236C7F"/>
    <w:rsid w:val="0023715A"/>
    <w:rsid w:val="00243E30"/>
    <w:rsid w:val="00244359"/>
    <w:rsid w:val="002448BF"/>
    <w:rsid w:val="002451D2"/>
    <w:rsid w:val="0025119D"/>
    <w:rsid w:val="00251500"/>
    <w:rsid w:val="00252201"/>
    <w:rsid w:val="00254B6F"/>
    <w:rsid w:val="00254DD8"/>
    <w:rsid w:val="00257035"/>
    <w:rsid w:val="0026022C"/>
    <w:rsid w:val="00260250"/>
    <w:rsid w:val="00261325"/>
    <w:rsid w:val="00262A09"/>
    <w:rsid w:val="002633D9"/>
    <w:rsid w:val="00263C53"/>
    <w:rsid w:val="00264548"/>
    <w:rsid w:val="00265B89"/>
    <w:rsid w:val="00265DE0"/>
    <w:rsid w:val="002677B6"/>
    <w:rsid w:val="00267DF7"/>
    <w:rsid w:val="002720BD"/>
    <w:rsid w:val="002729B7"/>
    <w:rsid w:val="00273B0C"/>
    <w:rsid w:val="002741AA"/>
    <w:rsid w:val="002751C4"/>
    <w:rsid w:val="00275D63"/>
    <w:rsid w:val="00277013"/>
    <w:rsid w:val="002835FF"/>
    <w:rsid w:val="002837BA"/>
    <w:rsid w:val="00284DC0"/>
    <w:rsid w:val="00286BA3"/>
    <w:rsid w:val="0028741E"/>
    <w:rsid w:val="00287AA1"/>
    <w:rsid w:val="00292C72"/>
    <w:rsid w:val="002930A0"/>
    <w:rsid w:val="002937FD"/>
    <w:rsid w:val="00293E58"/>
    <w:rsid w:val="002959A9"/>
    <w:rsid w:val="002A0B4A"/>
    <w:rsid w:val="002A0C47"/>
    <w:rsid w:val="002A0D56"/>
    <w:rsid w:val="002A3573"/>
    <w:rsid w:val="002A521C"/>
    <w:rsid w:val="002A72F4"/>
    <w:rsid w:val="002A7F4C"/>
    <w:rsid w:val="002B0D58"/>
    <w:rsid w:val="002B1F50"/>
    <w:rsid w:val="002B2CE2"/>
    <w:rsid w:val="002B4003"/>
    <w:rsid w:val="002B5DB1"/>
    <w:rsid w:val="002B5F4C"/>
    <w:rsid w:val="002B60F3"/>
    <w:rsid w:val="002B63EE"/>
    <w:rsid w:val="002B7190"/>
    <w:rsid w:val="002B7B30"/>
    <w:rsid w:val="002C0295"/>
    <w:rsid w:val="002C1D2C"/>
    <w:rsid w:val="002C2ABC"/>
    <w:rsid w:val="002C5B1C"/>
    <w:rsid w:val="002C5CE2"/>
    <w:rsid w:val="002C6830"/>
    <w:rsid w:val="002D1871"/>
    <w:rsid w:val="002D408C"/>
    <w:rsid w:val="002D4254"/>
    <w:rsid w:val="002D4E6E"/>
    <w:rsid w:val="002D6D67"/>
    <w:rsid w:val="002D7803"/>
    <w:rsid w:val="002E04A4"/>
    <w:rsid w:val="002E16C4"/>
    <w:rsid w:val="002E28D6"/>
    <w:rsid w:val="002E3140"/>
    <w:rsid w:val="002E31FC"/>
    <w:rsid w:val="002E49B7"/>
    <w:rsid w:val="002E6048"/>
    <w:rsid w:val="002E6FA7"/>
    <w:rsid w:val="002E7B92"/>
    <w:rsid w:val="002E7C5D"/>
    <w:rsid w:val="002F1516"/>
    <w:rsid w:val="002F2757"/>
    <w:rsid w:val="002F30EF"/>
    <w:rsid w:val="002F33F2"/>
    <w:rsid w:val="002F4609"/>
    <w:rsid w:val="002F4862"/>
    <w:rsid w:val="002F7A7B"/>
    <w:rsid w:val="00300289"/>
    <w:rsid w:val="0030086E"/>
    <w:rsid w:val="0030138A"/>
    <w:rsid w:val="00301893"/>
    <w:rsid w:val="00302AF9"/>
    <w:rsid w:val="00303CE6"/>
    <w:rsid w:val="003109EA"/>
    <w:rsid w:val="00312E4F"/>
    <w:rsid w:val="00313082"/>
    <w:rsid w:val="00315FEF"/>
    <w:rsid w:val="00317AD9"/>
    <w:rsid w:val="00317DCD"/>
    <w:rsid w:val="00317F97"/>
    <w:rsid w:val="0032160C"/>
    <w:rsid w:val="00324815"/>
    <w:rsid w:val="00326A18"/>
    <w:rsid w:val="00327281"/>
    <w:rsid w:val="00327606"/>
    <w:rsid w:val="00327808"/>
    <w:rsid w:val="00330249"/>
    <w:rsid w:val="003303DE"/>
    <w:rsid w:val="00330BBD"/>
    <w:rsid w:val="0033199D"/>
    <w:rsid w:val="00333019"/>
    <w:rsid w:val="00335237"/>
    <w:rsid w:val="003367F1"/>
    <w:rsid w:val="00340822"/>
    <w:rsid w:val="003411DD"/>
    <w:rsid w:val="00341A02"/>
    <w:rsid w:val="003431F3"/>
    <w:rsid w:val="00344196"/>
    <w:rsid w:val="00352A49"/>
    <w:rsid w:val="00353379"/>
    <w:rsid w:val="00354F44"/>
    <w:rsid w:val="00355798"/>
    <w:rsid w:val="00355F98"/>
    <w:rsid w:val="00361939"/>
    <w:rsid w:val="00362EF4"/>
    <w:rsid w:val="00364ADE"/>
    <w:rsid w:val="003650B9"/>
    <w:rsid w:val="0036525E"/>
    <w:rsid w:val="0036560E"/>
    <w:rsid w:val="00366093"/>
    <w:rsid w:val="00371ADA"/>
    <w:rsid w:val="00373092"/>
    <w:rsid w:val="0037398C"/>
    <w:rsid w:val="00373A54"/>
    <w:rsid w:val="0037618F"/>
    <w:rsid w:val="0037697D"/>
    <w:rsid w:val="00376D2B"/>
    <w:rsid w:val="00383BC7"/>
    <w:rsid w:val="00383CD4"/>
    <w:rsid w:val="00383EF3"/>
    <w:rsid w:val="003853C1"/>
    <w:rsid w:val="00390BBF"/>
    <w:rsid w:val="00393355"/>
    <w:rsid w:val="00393BAD"/>
    <w:rsid w:val="00394D27"/>
    <w:rsid w:val="00395F81"/>
    <w:rsid w:val="00396043"/>
    <w:rsid w:val="003973B7"/>
    <w:rsid w:val="003A04C1"/>
    <w:rsid w:val="003A0640"/>
    <w:rsid w:val="003A08A5"/>
    <w:rsid w:val="003A3EBD"/>
    <w:rsid w:val="003A54B9"/>
    <w:rsid w:val="003A6940"/>
    <w:rsid w:val="003A7504"/>
    <w:rsid w:val="003B0945"/>
    <w:rsid w:val="003B097F"/>
    <w:rsid w:val="003B0F78"/>
    <w:rsid w:val="003B4DCF"/>
    <w:rsid w:val="003B57D1"/>
    <w:rsid w:val="003B70BB"/>
    <w:rsid w:val="003B7F84"/>
    <w:rsid w:val="003C04F5"/>
    <w:rsid w:val="003C0F30"/>
    <w:rsid w:val="003C185A"/>
    <w:rsid w:val="003C2A48"/>
    <w:rsid w:val="003C39A7"/>
    <w:rsid w:val="003C3E32"/>
    <w:rsid w:val="003C492D"/>
    <w:rsid w:val="003C4DEF"/>
    <w:rsid w:val="003C74B1"/>
    <w:rsid w:val="003D3B71"/>
    <w:rsid w:val="003D4601"/>
    <w:rsid w:val="003D49AE"/>
    <w:rsid w:val="003D4A27"/>
    <w:rsid w:val="003D56AF"/>
    <w:rsid w:val="003D5E7B"/>
    <w:rsid w:val="003D5FB0"/>
    <w:rsid w:val="003D6538"/>
    <w:rsid w:val="003D7428"/>
    <w:rsid w:val="003D7516"/>
    <w:rsid w:val="003E0225"/>
    <w:rsid w:val="003E19DB"/>
    <w:rsid w:val="003E1EF3"/>
    <w:rsid w:val="003E36A8"/>
    <w:rsid w:val="003E4FD9"/>
    <w:rsid w:val="003E5319"/>
    <w:rsid w:val="003E5C8C"/>
    <w:rsid w:val="003F2ABC"/>
    <w:rsid w:val="003F58E4"/>
    <w:rsid w:val="0040031B"/>
    <w:rsid w:val="00400CC7"/>
    <w:rsid w:val="00401032"/>
    <w:rsid w:val="00401ADC"/>
    <w:rsid w:val="00402B24"/>
    <w:rsid w:val="00403B65"/>
    <w:rsid w:val="00404615"/>
    <w:rsid w:val="00404AB5"/>
    <w:rsid w:val="00405065"/>
    <w:rsid w:val="00405D85"/>
    <w:rsid w:val="00406522"/>
    <w:rsid w:val="004066F3"/>
    <w:rsid w:val="00407534"/>
    <w:rsid w:val="00407776"/>
    <w:rsid w:val="00412745"/>
    <w:rsid w:val="00412821"/>
    <w:rsid w:val="00413B35"/>
    <w:rsid w:val="00414361"/>
    <w:rsid w:val="00414498"/>
    <w:rsid w:val="00415043"/>
    <w:rsid w:val="00422D9C"/>
    <w:rsid w:val="00423755"/>
    <w:rsid w:val="0042458A"/>
    <w:rsid w:val="00425370"/>
    <w:rsid w:val="00425F8E"/>
    <w:rsid w:val="00426B54"/>
    <w:rsid w:val="00426F15"/>
    <w:rsid w:val="00427353"/>
    <w:rsid w:val="0043285A"/>
    <w:rsid w:val="00432BAC"/>
    <w:rsid w:val="00432F3B"/>
    <w:rsid w:val="00433492"/>
    <w:rsid w:val="00433CA6"/>
    <w:rsid w:val="0043549A"/>
    <w:rsid w:val="0043564D"/>
    <w:rsid w:val="0043628A"/>
    <w:rsid w:val="004374EA"/>
    <w:rsid w:val="00440C45"/>
    <w:rsid w:val="00443101"/>
    <w:rsid w:val="00444AE6"/>
    <w:rsid w:val="004471D5"/>
    <w:rsid w:val="004478FD"/>
    <w:rsid w:val="00447C96"/>
    <w:rsid w:val="00454539"/>
    <w:rsid w:val="00456022"/>
    <w:rsid w:val="00456F7A"/>
    <w:rsid w:val="00457C2C"/>
    <w:rsid w:val="00460458"/>
    <w:rsid w:val="00460553"/>
    <w:rsid w:val="0046662C"/>
    <w:rsid w:val="004700B3"/>
    <w:rsid w:val="00473B06"/>
    <w:rsid w:val="00474F0C"/>
    <w:rsid w:val="004774B0"/>
    <w:rsid w:val="004778E0"/>
    <w:rsid w:val="00481E4B"/>
    <w:rsid w:val="004829BD"/>
    <w:rsid w:val="00483B6A"/>
    <w:rsid w:val="00483EA3"/>
    <w:rsid w:val="00485BC6"/>
    <w:rsid w:val="00486257"/>
    <w:rsid w:val="00486412"/>
    <w:rsid w:val="0048789A"/>
    <w:rsid w:val="00491C59"/>
    <w:rsid w:val="004932DA"/>
    <w:rsid w:val="00496C10"/>
    <w:rsid w:val="004A1012"/>
    <w:rsid w:val="004A2836"/>
    <w:rsid w:val="004A2DB9"/>
    <w:rsid w:val="004A37B2"/>
    <w:rsid w:val="004A38A8"/>
    <w:rsid w:val="004A726F"/>
    <w:rsid w:val="004B3227"/>
    <w:rsid w:val="004B5914"/>
    <w:rsid w:val="004B5B68"/>
    <w:rsid w:val="004B67B4"/>
    <w:rsid w:val="004B6836"/>
    <w:rsid w:val="004B7CBA"/>
    <w:rsid w:val="004B7DAE"/>
    <w:rsid w:val="004C0C34"/>
    <w:rsid w:val="004C45F1"/>
    <w:rsid w:val="004C57BF"/>
    <w:rsid w:val="004C748D"/>
    <w:rsid w:val="004C7EE4"/>
    <w:rsid w:val="004D1AB5"/>
    <w:rsid w:val="004D34DD"/>
    <w:rsid w:val="004D4D38"/>
    <w:rsid w:val="004D5249"/>
    <w:rsid w:val="004D5866"/>
    <w:rsid w:val="004D739D"/>
    <w:rsid w:val="004E02CF"/>
    <w:rsid w:val="004E0A0C"/>
    <w:rsid w:val="004E4A92"/>
    <w:rsid w:val="004E7002"/>
    <w:rsid w:val="004E79A4"/>
    <w:rsid w:val="004F0551"/>
    <w:rsid w:val="004F1025"/>
    <w:rsid w:val="004F2A3C"/>
    <w:rsid w:val="004F35D5"/>
    <w:rsid w:val="004F3D6F"/>
    <w:rsid w:val="004F410E"/>
    <w:rsid w:val="004F529A"/>
    <w:rsid w:val="004F6B17"/>
    <w:rsid w:val="004F752A"/>
    <w:rsid w:val="004F78A9"/>
    <w:rsid w:val="004F7CB6"/>
    <w:rsid w:val="0051056D"/>
    <w:rsid w:val="00513290"/>
    <w:rsid w:val="00513871"/>
    <w:rsid w:val="00514CCC"/>
    <w:rsid w:val="00515203"/>
    <w:rsid w:val="00517C0C"/>
    <w:rsid w:val="00517D53"/>
    <w:rsid w:val="00523099"/>
    <w:rsid w:val="00524320"/>
    <w:rsid w:val="00524365"/>
    <w:rsid w:val="00524AE1"/>
    <w:rsid w:val="00524F2E"/>
    <w:rsid w:val="005275F1"/>
    <w:rsid w:val="00527935"/>
    <w:rsid w:val="00532BB5"/>
    <w:rsid w:val="005331C9"/>
    <w:rsid w:val="005343EB"/>
    <w:rsid w:val="0053624D"/>
    <w:rsid w:val="0053644B"/>
    <w:rsid w:val="00536D2F"/>
    <w:rsid w:val="0054008B"/>
    <w:rsid w:val="00543590"/>
    <w:rsid w:val="0054736A"/>
    <w:rsid w:val="0055219D"/>
    <w:rsid w:val="0055353F"/>
    <w:rsid w:val="00553D37"/>
    <w:rsid w:val="005546E7"/>
    <w:rsid w:val="005570F9"/>
    <w:rsid w:val="00561E20"/>
    <w:rsid w:val="00562AD8"/>
    <w:rsid w:val="00564BDB"/>
    <w:rsid w:val="00565164"/>
    <w:rsid w:val="00565C58"/>
    <w:rsid w:val="0056633F"/>
    <w:rsid w:val="00566833"/>
    <w:rsid w:val="00566892"/>
    <w:rsid w:val="00566959"/>
    <w:rsid w:val="0057131B"/>
    <w:rsid w:val="005713E5"/>
    <w:rsid w:val="00572FA9"/>
    <w:rsid w:val="005730B0"/>
    <w:rsid w:val="005731D3"/>
    <w:rsid w:val="0058093E"/>
    <w:rsid w:val="005812D3"/>
    <w:rsid w:val="00582CAD"/>
    <w:rsid w:val="00585E49"/>
    <w:rsid w:val="005868FD"/>
    <w:rsid w:val="0059025A"/>
    <w:rsid w:val="005908C7"/>
    <w:rsid w:val="005947D0"/>
    <w:rsid w:val="00595C0A"/>
    <w:rsid w:val="00597AE7"/>
    <w:rsid w:val="005A2B85"/>
    <w:rsid w:val="005A435A"/>
    <w:rsid w:val="005A47CF"/>
    <w:rsid w:val="005A49F3"/>
    <w:rsid w:val="005A5513"/>
    <w:rsid w:val="005A6535"/>
    <w:rsid w:val="005B0C40"/>
    <w:rsid w:val="005B1F8C"/>
    <w:rsid w:val="005B265D"/>
    <w:rsid w:val="005B776B"/>
    <w:rsid w:val="005C237B"/>
    <w:rsid w:val="005C32B4"/>
    <w:rsid w:val="005C6B89"/>
    <w:rsid w:val="005C6E02"/>
    <w:rsid w:val="005C7AB0"/>
    <w:rsid w:val="005D0633"/>
    <w:rsid w:val="005D39F8"/>
    <w:rsid w:val="005D413E"/>
    <w:rsid w:val="005D4676"/>
    <w:rsid w:val="005D55FD"/>
    <w:rsid w:val="005D620B"/>
    <w:rsid w:val="005D66BC"/>
    <w:rsid w:val="005D6F5A"/>
    <w:rsid w:val="005D79E7"/>
    <w:rsid w:val="005D7AD0"/>
    <w:rsid w:val="005E0F32"/>
    <w:rsid w:val="005E255C"/>
    <w:rsid w:val="005E259B"/>
    <w:rsid w:val="005E2C2D"/>
    <w:rsid w:val="005E2DE9"/>
    <w:rsid w:val="005E5885"/>
    <w:rsid w:val="005F090A"/>
    <w:rsid w:val="005F15CC"/>
    <w:rsid w:val="005F2973"/>
    <w:rsid w:val="005F2D72"/>
    <w:rsid w:val="005F37DA"/>
    <w:rsid w:val="005F3A79"/>
    <w:rsid w:val="005F6173"/>
    <w:rsid w:val="005F6E01"/>
    <w:rsid w:val="005F705E"/>
    <w:rsid w:val="00600416"/>
    <w:rsid w:val="006025ED"/>
    <w:rsid w:val="006030DC"/>
    <w:rsid w:val="00603A7D"/>
    <w:rsid w:val="00605FA2"/>
    <w:rsid w:val="00607C15"/>
    <w:rsid w:val="0061089F"/>
    <w:rsid w:val="006120AD"/>
    <w:rsid w:val="0061256C"/>
    <w:rsid w:val="00613D9C"/>
    <w:rsid w:val="00617547"/>
    <w:rsid w:val="006224BC"/>
    <w:rsid w:val="006228C2"/>
    <w:rsid w:val="00622D13"/>
    <w:rsid w:val="006304E8"/>
    <w:rsid w:val="00633235"/>
    <w:rsid w:val="00633C64"/>
    <w:rsid w:val="006377F8"/>
    <w:rsid w:val="00637935"/>
    <w:rsid w:val="006422DE"/>
    <w:rsid w:val="006423F2"/>
    <w:rsid w:val="00642F4E"/>
    <w:rsid w:val="0064392C"/>
    <w:rsid w:val="00646916"/>
    <w:rsid w:val="006470AC"/>
    <w:rsid w:val="006511CC"/>
    <w:rsid w:val="006520DE"/>
    <w:rsid w:val="00652EED"/>
    <w:rsid w:val="00652F6E"/>
    <w:rsid w:val="0065325A"/>
    <w:rsid w:val="006574C5"/>
    <w:rsid w:val="00662196"/>
    <w:rsid w:val="006650F1"/>
    <w:rsid w:val="00665C73"/>
    <w:rsid w:val="0066636E"/>
    <w:rsid w:val="0067015C"/>
    <w:rsid w:val="00672BF1"/>
    <w:rsid w:val="00673932"/>
    <w:rsid w:val="00673AD9"/>
    <w:rsid w:val="00674316"/>
    <w:rsid w:val="00674B12"/>
    <w:rsid w:val="0067635C"/>
    <w:rsid w:val="0068134E"/>
    <w:rsid w:val="00681AC5"/>
    <w:rsid w:val="00681E11"/>
    <w:rsid w:val="00682553"/>
    <w:rsid w:val="0068284C"/>
    <w:rsid w:val="006828CD"/>
    <w:rsid w:val="0068409F"/>
    <w:rsid w:val="00684B07"/>
    <w:rsid w:val="00684E74"/>
    <w:rsid w:val="006863C5"/>
    <w:rsid w:val="006871ED"/>
    <w:rsid w:val="006915E2"/>
    <w:rsid w:val="00693301"/>
    <w:rsid w:val="00693521"/>
    <w:rsid w:val="006A118B"/>
    <w:rsid w:val="006A1801"/>
    <w:rsid w:val="006A21B4"/>
    <w:rsid w:val="006A7C66"/>
    <w:rsid w:val="006A7FDC"/>
    <w:rsid w:val="006B076B"/>
    <w:rsid w:val="006B07F0"/>
    <w:rsid w:val="006B11B8"/>
    <w:rsid w:val="006B499C"/>
    <w:rsid w:val="006B7A4B"/>
    <w:rsid w:val="006B7FBA"/>
    <w:rsid w:val="006C030B"/>
    <w:rsid w:val="006C1C10"/>
    <w:rsid w:val="006C1C71"/>
    <w:rsid w:val="006C44B4"/>
    <w:rsid w:val="006C5BD3"/>
    <w:rsid w:val="006D13E4"/>
    <w:rsid w:val="006D22C5"/>
    <w:rsid w:val="006D347D"/>
    <w:rsid w:val="006D4327"/>
    <w:rsid w:val="006D5C53"/>
    <w:rsid w:val="006D5D3A"/>
    <w:rsid w:val="006D5E1B"/>
    <w:rsid w:val="006D6A4D"/>
    <w:rsid w:val="006D6E35"/>
    <w:rsid w:val="006D72D9"/>
    <w:rsid w:val="006D79F5"/>
    <w:rsid w:val="006D7C55"/>
    <w:rsid w:val="006E008E"/>
    <w:rsid w:val="006E2874"/>
    <w:rsid w:val="006E3126"/>
    <w:rsid w:val="006F1D45"/>
    <w:rsid w:val="006F2CEC"/>
    <w:rsid w:val="006F4201"/>
    <w:rsid w:val="006F43B1"/>
    <w:rsid w:val="006F6326"/>
    <w:rsid w:val="00701094"/>
    <w:rsid w:val="0070155F"/>
    <w:rsid w:val="00701EF8"/>
    <w:rsid w:val="007021A7"/>
    <w:rsid w:val="00702428"/>
    <w:rsid w:val="00702AD7"/>
    <w:rsid w:val="00703924"/>
    <w:rsid w:val="00703BCB"/>
    <w:rsid w:val="0070402A"/>
    <w:rsid w:val="00706030"/>
    <w:rsid w:val="007129A1"/>
    <w:rsid w:val="0071467B"/>
    <w:rsid w:val="00714A07"/>
    <w:rsid w:val="007151AE"/>
    <w:rsid w:val="007170C2"/>
    <w:rsid w:val="007200AA"/>
    <w:rsid w:val="007222E1"/>
    <w:rsid w:val="007228B1"/>
    <w:rsid w:val="00723987"/>
    <w:rsid w:val="00723EFE"/>
    <w:rsid w:val="00724364"/>
    <w:rsid w:val="007310A5"/>
    <w:rsid w:val="0073180D"/>
    <w:rsid w:val="00733D98"/>
    <w:rsid w:val="0073400D"/>
    <w:rsid w:val="00735D5A"/>
    <w:rsid w:val="0073625C"/>
    <w:rsid w:val="00736A8B"/>
    <w:rsid w:val="00743706"/>
    <w:rsid w:val="00743C37"/>
    <w:rsid w:val="00744F7D"/>
    <w:rsid w:val="0074550E"/>
    <w:rsid w:val="007477BA"/>
    <w:rsid w:val="00752DBE"/>
    <w:rsid w:val="00752F4E"/>
    <w:rsid w:val="00752F78"/>
    <w:rsid w:val="007545C6"/>
    <w:rsid w:val="0075635A"/>
    <w:rsid w:val="00757875"/>
    <w:rsid w:val="0076102F"/>
    <w:rsid w:val="0076161C"/>
    <w:rsid w:val="00763B68"/>
    <w:rsid w:val="00764821"/>
    <w:rsid w:val="007667A9"/>
    <w:rsid w:val="007675D3"/>
    <w:rsid w:val="00767B67"/>
    <w:rsid w:val="0077019E"/>
    <w:rsid w:val="00770A70"/>
    <w:rsid w:val="00770BF1"/>
    <w:rsid w:val="00774344"/>
    <w:rsid w:val="007744C2"/>
    <w:rsid w:val="00774E81"/>
    <w:rsid w:val="00776DE2"/>
    <w:rsid w:val="007771F4"/>
    <w:rsid w:val="007779E7"/>
    <w:rsid w:val="00780749"/>
    <w:rsid w:val="0078121F"/>
    <w:rsid w:val="00783392"/>
    <w:rsid w:val="007842A7"/>
    <w:rsid w:val="00784F0C"/>
    <w:rsid w:val="00785416"/>
    <w:rsid w:val="0078577E"/>
    <w:rsid w:val="00785D80"/>
    <w:rsid w:val="007864CA"/>
    <w:rsid w:val="00786AE3"/>
    <w:rsid w:val="0078758A"/>
    <w:rsid w:val="007875EA"/>
    <w:rsid w:val="007916E7"/>
    <w:rsid w:val="00791F71"/>
    <w:rsid w:val="00792D59"/>
    <w:rsid w:val="00793594"/>
    <w:rsid w:val="0079564F"/>
    <w:rsid w:val="00795837"/>
    <w:rsid w:val="00796E68"/>
    <w:rsid w:val="00797F2A"/>
    <w:rsid w:val="007A5346"/>
    <w:rsid w:val="007A55F2"/>
    <w:rsid w:val="007A5B45"/>
    <w:rsid w:val="007A79BD"/>
    <w:rsid w:val="007A7F25"/>
    <w:rsid w:val="007B2693"/>
    <w:rsid w:val="007B4202"/>
    <w:rsid w:val="007B427A"/>
    <w:rsid w:val="007B4723"/>
    <w:rsid w:val="007B4988"/>
    <w:rsid w:val="007B520E"/>
    <w:rsid w:val="007B5A24"/>
    <w:rsid w:val="007B6901"/>
    <w:rsid w:val="007B79CD"/>
    <w:rsid w:val="007C3B9D"/>
    <w:rsid w:val="007C3E63"/>
    <w:rsid w:val="007C4D1D"/>
    <w:rsid w:val="007C515A"/>
    <w:rsid w:val="007C558C"/>
    <w:rsid w:val="007C69F9"/>
    <w:rsid w:val="007C6A52"/>
    <w:rsid w:val="007C6D9F"/>
    <w:rsid w:val="007C73B0"/>
    <w:rsid w:val="007D19DC"/>
    <w:rsid w:val="007D2DAD"/>
    <w:rsid w:val="007D4C24"/>
    <w:rsid w:val="007D5B8D"/>
    <w:rsid w:val="007D6256"/>
    <w:rsid w:val="007D708A"/>
    <w:rsid w:val="007D75E9"/>
    <w:rsid w:val="007E17BC"/>
    <w:rsid w:val="007E1A5B"/>
    <w:rsid w:val="007E2C39"/>
    <w:rsid w:val="007E2C83"/>
    <w:rsid w:val="007E5711"/>
    <w:rsid w:val="007E6656"/>
    <w:rsid w:val="007E76B5"/>
    <w:rsid w:val="007F11D0"/>
    <w:rsid w:val="007F3687"/>
    <w:rsid w:val="007F4429"/>
    <w:rsid w:val="007F478E"/>
    <w:rsid w:val="007F512B"/>
    <w:rsid w:val="00801272"/>
    <w:rsid w:val="008014C4"/>
    <w:rsid w:val="008037B1"/>
    <w:rsid w:val="008041AB"/>
    <w:rsid w:val="00804947"/>
    <w:rsid w:val="00804E54"/>
    <w:rsid w:val="008052AF"/>
    <w:rsid w:val="00806762"/>
    <w:rsid w:val="00807DAE"/>
    <w:rsid w:val="008136DD"/>
    <w:rsid w:val="00813708"/>
    <w:rsid w:val="008144A0"/>
    <w:rsid w:val="008153BD"/>
    <w:rsid w:val="008159F2"/>
    <w:rsid w:val="00817D6F"/>
    <w:rsid w:val="0082127B"/>
    <w:rsid w:val="00822503"/>
    <w:rsid w:val="00824F44"/>
    <w:rsid w:val="008262B4"/>
    <w:rsid w:val="00827226"/>
    <w:rsid w:val="008308EA"/>
    <w:rsid w:val="008316FA"/>
    <w:rsid w:val="00831A19"/>
    <w:rsid w:val="00831C22"/>
    <w:rsid w:val="008323A9"/>
    <w:rsid w:val="0083343D"/>
    <w:rsid w:val="008338D6"/>
    <w:rsid w:val="00836666"/>
    <w:rsid w:val="0083672C"/>
    <w:rsid w:val="00840588"/>
    <w:rsid w:val="00840B35"/>
    <w:rsid w:val="008415AA"/>
    <w:rsid w:val="008422B1"/>
    <w:rsid w:val="00843F87"/>
    <w:rsid w:val="00845732"/>
    <w:rsid w:val="00851D01"/>
    <w:rsid w:val="00854F4C"/>
    <w:rsid w:val="008553C5"/>
    <w:rsid w:val="008572D9"/>
    <w:rsid w:val="00860C44"/>
    <w:rsid w:val="008616BB"/>
    <w:rsid w:val="00861748"/>
    <w:rsid w:val="00861E13"/>
    <w:rsid w:val="00863527"/>
    <w:rsid w:val="00863AC0"/>
    <w:rsid w:val="008670EF"/>
    <w:rsid w:val="0087366A"/>
    <w:rsid w:val="00873A0C"/>
    <w:rsid w:val="00874570"/>
    <w:rsid w:val="008778FD"/>
    <w:rsid w:val="008837F7"/>
    <w:rsid w:val="00885E0D"/>
    <w:rsid w:val="00887D69"/>
    <w:rsid w:val="00892496"/>
    <w:rsid w:val="00894DC9"/>
    <w:rsid w:val="00895805"/>
    <w:rsid w:val="008A2921"/>
    <w:rsid w:val="008A3D60"/>
    <w:rsid w:val="008A4F6E"/>
    <w:rsid w:val="008A5D29"/>
    <w:rsid w:val="008A6F22"/>
    <w:rsid w:val="008A707E"/>
    <w:rsid w:val="008B1A01"/>
    <w:rsid w:val="008B5D8F"/>
    <w:rsid w:val="008B6122"/>
    <w:rsid w:val="008B6BC5"/>
    <w:rsid w:val="008C00EC"/>
    <w:rsid w:val="008C066F"/>
    <w:rsid w:val="008C1377"/>
    <w:rsid w:val="008C3C4F"/>
    <w:rsid w:val="008C43A5"/>
    <w:rsid w:val="008C6E44"/>
    <w:rsid w:val="008D2535"/>
    <w:rsid w:val="008D3189"/>
    <w:rsid w:val="008D3208"/>
    <w:rsid w:val="008D3A79"/>
    <w:rsid w:val="008D3AD8"/>
    <w:rsid w:val="008D3C20"/>
    <w:rsid w:val="008D41A9"/>
    <w:rsid w:val="008D49BF"/>
    <w:rsid w:val="008D4E1D"/>
    <w:rsid w:val="008E023F"/>
    <w:rsid w:val="008E099A"/>
    <w:rsid w:val="008E1D3A"/>
    <w:rsid w:val="008E2B5D"/>
    <w:rsid w:val="008E2BEE"/>
    <w:rsid w:val="008E356E"/>
    <w:rsid w:val="008E64E1"/>
    <w:rsid w:val="008E68B2"/>
    <w:rsid w:val="008E7845"/>
    <w:rsid w:val="008F0F84"/>
    <w:rsid w:val="008F1B5A"/>
    <w:rsid w:val="008F1BFE"/>
    <w:rsid w:val="008F311E"/>
    <w:rsid w:val="008F4E0B"/>
    <w:rsid w:val="008F516A"/>
    <w:rsid w:val="008F71A0"/>
    <w:rsid w:val="008F7963"/>
    <w:rsid w:val="009012A5"/>
    <w:rsid w:val="00903070"/>
    <w:rsid w:val="00904C33"/>
    <w:rsid w:val="009058F5"/>
    <w:rsid w:val="00906562"/>
    <w:rsid w:val="0090733A"/>
    <w:rsid w:val="00907866"/>
    <w:rsid w:val="00907F79"/>
    <w:rsid w:val="00910984"/>
    <w:rsid w:val="0091265B"/>
    <w:rsid w:val="00913889"/>
    <w:rsid w:val="00914640"/>
    <w:rsid w:val="00914AD7"/>
    <w:rsid w:val="00916C8D"/>
    <w:rsid w:val="009178AE"/>
    <w:rsid w:val="009213C9"/>
    <w:rsid w:val="0092253E"/>
    <w:rsid w:val="009254E7"/>
    <w:rsid w:val="009255BD"/>
    <w:rsid w:val="009277BE"/>
    <w:rsid w:val="00934329"/>
    <w:rsid w:val="00934CC7"/>
    <w:rsid w:val="0093795F"/>
    <w:rsid w:val="009431BC"/>
    <w:rsid w:val="0094353C"/>
    <w:rsid w:val="009446B0"/>
    <w:rsid w:val="009453E1"/>
    <w:rsid w:val="00947606"/>
    <w:rsid w:val="00947B12"/>
    <w:rsid w:val="009534C9"/>
    <w:rsid w:val="009571D7"/>
    <w:rsid w:val="009612D8"/>
    <w:rsid w:val="00961C6A"/>
    <w:rsid w:val="00961FEE"/>
    <w:rsid w:val="00963635"/>
    <w:rsid w:val="0096475E"/>
    <w:rsid w:val="0096499A"/>
    <w:rsid w:val="00964F07"/>
    <w:rsid w:val="0096501F"/>
    <w:rsid w:val="009702CE"/>
    <w:rsid w:val="009723FF"/>
    <w:rsid w:val="00972AB1"/>
    <w:rsid w:val="009768D2"/>
    <w:rsid w:val="00976940"/>
    <w:rsid w:val="00976BDA"/>
    <w:rsid w:val="009806EC"/>
    <w:rsid w:val="00981C23"/>
    <w:rsid w:val="00981E37"/>
    <w:rsid w:val="00982581"/>
    <w:rsid w:val="009840CE"/>
    <w:rsid w:val="00984CD8"/>
    <w:rsid w:val="00985E01"/>
    <w:rsid w:val="00985EFD"/>
    <w:rsid w:val="00986594"/>
    <w:rsid w:val="009920C5"/>
    <w:rsid w:val="00993F6B"/>
    <w:rsid w:val="009A06D7"/>
    <w:rsid w:val="009A0D22"/>
    <w:rsid w:val="009A199C"/>
    <w:rsid w:val="009A29A4"/>
    <w:rsid w:val="009A3636"/>
    <w:rsid w:val="009A48B0"/>
    <w:rsid w:val="009A4DC6"/>
    <w:rsid w:val="009A5BDB"/>
    <w:rsid w:val="009A6133"/>
    <w:rsid w:val="009B0E93"/>
    <w:rsid w:val="009B1025"/>
    <w:rsid w:val="009B298F"/>
    <w:rsid w:val="009B2DDD"/>
    <w:rsid w:val="009B5977"/>
    <w:rsid w:val="009B6333"/>
    <w:rsid w:val="009B685B"/>
    <w:rsid w:val="009C0F63"/>
    <w:rsid w:val="009C5208"/>
    <w:rsid w:val="009C6406"/>
    <w:rsid w:val="009C7815"/>
    <w:rsid w:val="009D024D"/>
    <w:rsid w:val="009D28E3"/>
    <w:rsid w:val="009D2E33"/>
    <w:rsid w:val="009D2FE7"/>
    <w:rsid w:val="009D308D"/>
    <w:rsid w:val="009D41BA"/>
    <w:rsid w:val="009D471E"/>
    <w:rsid w:val="009D788B"/>
    <w:rsid w:val="009E28D8"/>
    <w:rsid w:val="009E76DF"/>
    <w:rsid w:val="009F1773"/>
    <w:rsid w:val="009F3195"/>
    <w:rsid w:val="009F6CE7"/>
    <w:rsid w:val="009F754B"/>
    <w:rsid w:val="00A03DC5"/>
    <w:rsid w:val="00A0544A"/>
    <w:rsid w:val="00A05596"/>
    <w:rsid w:val="00A06E80"/>
    <w:rsid w:val="00A07960"/>
    <w:rsid w:val="00A07F93"/>
    <w:rsid w:val="00A133B3"/>
    <w:rsid w:val="00A14018"/>
    <w:rsid w:val="00A15F76"/>
    <w:rsid w:val="00A1710C"/>
    <w:rsid w:val="00A22F35"/>
    <w:rsid w:val="00A244B1"/>
    <w:rsid w:val="00A24FF8"/>
    <w:rsid w:val="00A26E77"/>
    <w:rsid w:val="00A33240"/>
    <w:rsid w:val="00A36F7F"/>
    <w:rsid w:val="00A410C2"/>
    <w:rsid w:val="00A41250"/>
    <w:rsid w:val="00A41D4E"/>
    <w:rsid w:val="00A42BDF"/>
    <w:rsid w:val="00A466AA"/>
    <w:rsid w:val="00A52063"/>
    <w:rsid w:val="00A520B2"/>
    <w:rsid w:val="00A52A8F"/>
    <w:rsid w:val="00A5382D"/>
    <w:rsid w:val="00A54BB2"/>
    <w:rsid w:val="00A54FAE"/>
    <w:rsid w:val="00A55A9A"/>
    <w:rsid w:val="00A574D9"/>
    <w:rsid w:val="00A57591"/>
    <w:rsid w:val="00A57F66"/>
    <w:rsid w:val="00A640FF"/>
    <w:rsid w:val="00A65917"/>
    <w:rsid w:val="00A66B00"/>
    <w:rsid w:val="00A70633"/>
    <w:rsid w:val="00A712B1"/>
    <w:rsid w:val="00A7224F"/>
    <w:rsid w:val="00A756AC"/>
    <w:rsid w:val="00A771B4"/>
    <w:rsid w:val="00A77304"/>
    <w:rsid w:val="00A776B9"/>
    <w:rsid w:val="00A83B38"/>
    <w:rsid w:val="00A83ECB"/>
    <w:rsid w:val="00A847B9"/>
    <w:rsid w:val="00A850C0"/>
    <w:rsid w:val="00A85298"/>
    <w:rsid w:val="00A876C9"/>
    <w:rsid w:val="00A90D30"/>
    <w:rsid w:val="00A9226C"/>
    <w:rsid w:val="00A955CA"/>
    <w:rsid w:val="00A967FE"/>
    <w:rsid w:val="00A97360"/>
    <w:rsid w:val="00A97390"/>
    <w:rsid w:val="00AA3909"/>
    <w:rsid w:val="00AA5CC3"/>
    <w:rsid w:val="00AA6010"/>
    <w:rsid w:val="00AA6167"/>
    <w:rsid w:val="00AA61F7"/>
    <w:rsid w:val="00AB03BD"/>
    <w:rsid w:val="00AB17CB"/>
    <w:rsid w:val="00AB2A8B"/>
    <w:rsid w:val="00AB2F11"/>
    <w:rsid w:val="00AB70B2"/>
    <w:rsid w:val="00AC1150"/>
    <w:rsid w:val="00AC1C9B"/>
    <w:rsid w:val="00AC5955"/>
    <w:rsid w:val="00AD251A"/>
    <w:rsid w:val="00AD4DE6"/>
    <w:rsid w:val="00AD525B"/>
    <w:rsid w:val="00AD5297"/>
    <w:rsid w:val="00AD6990"/>
    <w:rsid w:val="00AD6D3D"/>
    <w:rsid w:val="00AD6EC2"/>
    <w:rsid w:val="00AD7948"/>
    <w:rsid w:val="00AD7DA5"/>
    <w:rsid w:val="00AE0354"/>
    <w:rsid w:val="00AE266B"/>
    <w:rsid w:val="00AE2A07"/>
    <w:rsid w:val="00AE4C26"/>
    <w:rsid w:val="00AE6DC6"/>
    <w:rsid w:val="00AE7D5D"/>
    <w:rsid w:val="00AF1AED"/>
    <w:rsid w:val="00AF2204"/>
    <w:rsid w:val="00AF22A1"/>
    <w:rsid w:val="00AF46DF"/>
    <w:rsid w:val="00AF79FF"/>
    <w:rsid w:val="00B012F3"/>
    <w:rsid w:val="00B01BCA"/>
    <w:rsid w:val="00B02E93"/>
    <w:rsid w:val="00B038E0"/>
    <w:rsid w:val="00B03E84"/>
    <w:rsid w:val="00B06387"/>
    <w:rsid w:val="00B068A5"/>
    <w:rsid w:val="00B068E6"/>
    <w:rsid w:val="00B12388"/>
    <w:rsid w:val="00B1273F"/>
    <w:rsid w:val="00B1365F"/>
    <w:rsid w:val="00B14AE9"/>
    <w:rsid w:val="00B15444"/>
    <w:rsid w:val="00B15ED3"/>
    <w:rsid w:val="00B16CF6"/>
    <w:rsid w:val="00B22000"/>
    <w:rsid w:val="00B22430"/>
    <w:rsid w:val="00B25348"/>
    <w:rsid w:val="00B33B28"/>
    <w:rsid w:val="00B34A67"/>
    <w:rsid w:val="00B34B8C"/>
    <w:rsid w:val="00B362B2"/>
    <w:rsid w:val="00B36554"/>
    <w:rsid w:val="00B370BD"/>
    <w:rsid w:val="00B37279"/>
    <w:rsid w:val="00B43BFE"/>
    <w:rsid w:val="00B46FD9"/>
    <w:rsid w:val="00B471B2"/>
    <w:rsid w:val="00B47C4F"/>
    <w:rsid w:val="00B502E6"/>
    <w:rsid w:val="00B5222A"/>
    <w:rsid w:val="00B53493"/>
    <w:rsid w:val="00B536D0"/>
    <w:rsid w:val="00B54A07"/>
    <w:rsid w:val="00B555C1"/>
    <w:rsid w:val="00B55D18"/>
    <w:rsid w:val="00B56CC8"/>
    <w:rsid w:val="00B60B44"/>
    <w:rsid w:val="00B61609"/>
    <w:rsid w:val="00B616EB"/>
    <w:rsid w:val="00B6435B"/>
    <w:rsid w:val="00B65281"/>
    <w:rsid w:val="00B6600A"/>
    <w:rsid w:val="00B668FB"/>
    <w:rsid w:val="00B66DC0"/>
    <w:rsid w:val="00B67F8F"/>
    <w:rsid w:val="00B70555"/>
    <w:rsid w:val="00B71554"/>
    <w:rsid w:val="00B73317"/>
    <w:rsid w:val="00B75F28"/>
    <w:rsid w:val="00B7654B"/>
    <w:rsid w:val="00B76B8E"/>
    <w:rsid w:val="00B773A6"/>
    <w:rsid w:val="00B8347A"/>
    <w:rsid w:val="00B83516"/>
    <w:rsid w:val="00B848F0"/>
    <w:rsid w:val="00B84EFA"/>
    <w:rsid w:val="00B85128"/>
    <w:rsid w:val="00B86791"/>
    <w:rsid w:val="00B86804"/>
    <w:rsid w:val="00B86B7C"/>
    <w:rsid w:val="00B87365"/>
    <w:rsid w:val="00B9025A"/>
    <w:rsid w:val="00B93194"/>
    <w:rsid w:val="00B96323"/>
    <w:rsid w:val="00B96500"/>
    <w:rsid w:val="00B96648"/>
    <w:rsid w:val="00B97C63"/>
    <w:rsid w:val="00BA08FB"/>
    <w:rsid w:val="00BA0DF5"/>
    <w:rsid w:val="00BA21CA"/>
    <w:rsid w:val="00BA2D60"/>
    <w:rsid w:val="00BA3B26"/>
    <w:rsid w:val="00BA45AE"/>
    <w:rsid w:val="00BA49D2"/>
    <w:rsid w:val="00BA4F4A"/>
    <w:rsid w:val="00BA5591"/>
    <w:rsid w:val="00BA61CC"/>
    <w:rsid w:val="00BA66AD"/>
    <w:rsid w:val="00BB02B7"/>
    <w:rsid w:val="00BB1488"/>
    <w:rsid w:val="00BB1822"/>
    <w:rsid w:val="00BB2A35"/>
    <w:rsid w:val="00BB39E8"/>
    <w:rsid w:val="00BB3F71"/>
    <w:rsid w:val="00BB49AA"/>
    <w:rsid w:val="00BB53A4"/>
    <w:rsid w:val="00BB7199"/>
    <w:rsid w:val="00BB7413"/>
    <w:rsid w:val="00BC08A5"/>
    <w:rsid w:val="00BC123E"/>
    <w:rsid w:val="00BC1457"/>
    <w:rsid w:val="00BC18C5"/>
    <w:rsid w:val="00BC2DD3"/>
    <w:rsid w:val="00BC35AC"/>
    <w:rsid w:val="00BC388B"/>
    <w:rsid w:val="00BC4C64"/>
    <w:rsid w:val="00BC4EF0"/>
    <w:rsid w:val="00BC67B1"/>
    <w:rsid w:val="00BC7EC7"/>
    <w:rsid w:val="00BD062C"/>
    <w:rsid w:val="00BD0ECD"/>
    <w:rsid w:val="00BD29F6"/>
    <w:rsid w:val="00BD39DF"/>
    <w:rsid w:val="00BD7CF3"/>
    <w:rsid w:val="00BE16D4"/>
    <w:rsid w:val="00BE19CA"/>
    <w:rsid w:val="00BE2125"/>
    <w:rsid w:val="00BE3425"/>
    <w:rsid w:val="00BE49D0"/>
    <w:rsid w:val="00BE5B34"/>
    <w:rsid w:val="00BE6696"/>
    <w:rsid w:val="00BE6794"/>
    <w:rsid w:val="00BF2C53"/>
    <w:rsid w:val="00BF2E8F"/>
    <w:rsid w:val="00BF30FF"/>
    <w:rsid w:val="00BF4ACD"/>
    <w:rsid w:val="00BF59FA"/>
    <w:rsid w:val="00BF7DC0"/>
    <w:rsid w:val="00BF7FF2"/>
    <w:rsid w:val="00C000C3"/>
    <w:rsid w:val="00C01EAD"/>
    <w:rsid w:val="00C01F9D"/>
    <w:rsid w:val="00C025D6"/>
    <w:rsid w:val="00C02C96"/>
    <w:rsid w:val="00C02E60"/>
    <w:rsid w:val="00C03B93"/>
    <w:rsid w:val="00C0445B"/>
    <w:rsid w:val="00C04D23"/>
    <w:rsid w:val="00C05B9D"/>
    <w:rsid w:val="00C05E29"/>
    <w:rsid w:val="00C067C6"/>
    <w:rsid w:val="00C075DD"/>
    <w:rsid w:val="00C10095"/>
    <w:rsid w:val="00C10DB8"/>
    <w:rsid w:val="00C10E21"/>
    <w:rsid w:val="00C113FE"/>
    <w:rsid w:val="00C12CC4"/>
    <w:rsid w:val="00C1454F"/>
    <w:rsid w:val="00C1514B"/>
    <w:rsid w:val="00C15BF5"/>
    <w:rsid w:val="00C21366"/>
    <w:rsid w:val="00C240FD"/>
    <w:rsid w:val="00C24374"/>
    <w:rsid w:val="00C26DF3"/>
    <w:rsid w:val="00C27633"/>
    <w:rsid w:val="00C279A7"/>
    <w:rsid w:val="00C302EF"/>
    <w:rsid w:val="00C30AB3"/>
    <w:rsid w:val="00C3173A"/>
    <w:rsid w:val="00C35F49"/>
    <w:rsid w:val="00C410F4"/>
    <w:rsid w:val="00C41E53"/>
    <w:rsid w:val="00C42B44"/>
    <w:rsid w:val="00C43012"/>
    <w:rsid w:val="00C45B0F"/>
    <w:rsid w:val="00C510F4"/>
    <w:rsid w:val="00C51F7E"/>
    <w:rsid w:val="00C53C12"/>
    <w:rsid w:val="00C53F00"/>
    <w:rsid w:val="00C54ACC"/>
    <w:rsid w:val="00C57FAF"/>
    <w:rsid w:val="00C65132"/>
    <w:rsid w:val="00C65179"/>
    <w:rsid w:val="00C71017"/>
    <w:rsid w:val="00C715D6"/>
    <w:rsid w:val="00C73A46"/>
    <w:rsid w:val="00C74C53"/>
    <w:rsid w:val="00C76C09"/>
    <w:rsid w:val="00C801FA"/>
    <w:rsid w:val="00C8086A"/>
    <w:rsid w:val="00C82129"/>
    <w:rsid w:val="00C828D7"/>
    <w:rsid w:val="00C82CCA"/>
    <w:rsid w:val="00C83BF8"/>
    <w:rsid w:val="00C87372"/>
    <w:rsid w:val="00C876BF"/>
    <w:rsid w:val="00C901EB"/>
    <w:rsid w:val="00C905A2"/>
    <w:rsid w:val="00C9396A"/>
    <w:rsid w:val="00C97431"/>
    <w:rsid w:val="00C974FF"/>
    <w:rsid w:val="00C97C3B"/>
    <w:rsid w:val="00C97E38"/>
    <w:rsid w:val="00CA16A1"/>
    <w:rsid w:val="00CA1ECD"/>
    <w:rsid w:val="00CA52B7"/>
    <w:rsid w:val="00CA5377"/>
    <w:rsid w:val="00CA652E"/>
    <w:rsid w:val="00CA6A13"/>
    <w:rsid w:val="00CB36FC"/>
    <w:rsid w:val="00CB3C01"/>
    <w:rsid w:val="00CB5FBE"/>
    <w:rsid w:val="00CC0652"/>
    <w:rsid w:val="00CC15DD"/>
    <w:rsid w:val="00CC2983"/>
    <w:rsid w:val="00CC314B"/>
    <w:rsid w:val="00CC370F"/>
    <w:rsid w:val="00CC4AE3"/>
    <w:rsid w:val="00CC5083"/>
    <w:rsid w:val="00CC5190"/>
    <w:rsid w:val="00CC520D"/>
    <w:rsid w:val="00CC529A"/>
    <w:rsid w:val="00CD12ED"/>
    <w:rsid w:val="00CD23CA"/>
    <w:rsid w:val="00CD2F92"/>
    <w:rsid w:val="00CD34FA"/>
    <w:rsid w:val="00CD5A62"/>
    <w:rsid w:val="00CD5BF8"/>
    <w:rsid w:val="00CD6EEC"/>
    <w:rsid w:val="00CE0A09"/>
    <w:rsid w:val="00CE1196"/>
    <w:rsid w:val="00CE148A"/>
    <w:rsid w:val="00CE239A"/>
    <w:rsid w:val="00CE2540"/>
    <w:rsid w:val="00CE7727"/>
    <w:rsid w:val="00CF1CDD"/>
    <w:rsid w:val="00CF23A0"/>
    <w:rsid w:val="00CF3964"/>
    <w:rsid w:val="00CF4B63"/>
    <w:rsid w:val="00CF632E"/>
    <w:rsid w:val="00CF63C3"/>
    <w:rsid w:val="00D00975"/>
    <w:rsid w:val="00D00F4A"/>
    <w:rsid w:val="00D0327F"/>
    <w:rsid w:val="00D056DA"/>
    <w:rsid w:val="00D06F2D"/>
    <w:rsid w:val="00D10D87"/>
    <w:rsid w:val="00D13F91"/>
    <w:rsid w:val="00D14C9C"/>
    <w:rsid w:val="00D1609C"/>
    <w:rsid w:val="00D16917"/>
    <w:rsid w:val="00D207B8"/>
    <w:rsid w:val="00D22772"/>
    <w:rsid w:val="00D241D3"/>
    <w:rsid w:val="00D24A91"/>
    <w:rsid w:val="00D24EAF"/>
    <w:rsid w:val="00D24EC3"/>
    <w:rsid w:val="00D253E1"/>
    <w:rsid w:val="00D266EF"/>
    <w:rsid w:val="00D26FB2"/>
    <w:rsid w:val="00D27FA8"/>
    <w:rsid w:val="00D31571"/>
    <w:rsid w:val="00D336C7"/>
    <w:rsid w:val="00D365D3"/>
    <w:rsid w:val="00D366E9"/>
    <w:rsid w:val="00D37C9F"/>
    <w:rsid w:val="00D4159B"/>
    <w:rsid w:val="00D42230"/>
    <w:rsid w:val="00D4240A"/>
    <w:rsid w:val="00D42F7B"/>
    <w:rsid w:val="00D435A1"/>
    <w:rsid w:val="00D45FBD"/>
    <w:rsid w:val="00D47009"/>
    <w:rsid w:val="00D51B7C"/>
    <w:rsid w:val="00D53EB6"/>
    <w:rsid w:val="00D55089"/>
    <w:rsid w:val="00D55AC5"/>
    <w:rsid w:val="00D60158"/>
    <w:rsid w:val="00D6137A"/>
    <w:rsid w:val="00D64462"/>
    <w:rsid w:val="00D64C66"/>
    <w:rsid w:val="00D65684"/>
    <w:rsid w:val="00D65E06"/>
    <w:rsid w:val="00D67030"/>
    <w:rsid w:val="00D67725"/>
    <w:rsid w:val="00D710B7"/>
    <w:rsid w:val="00D738E5"/>
    <w:rsid w:val="00D73991"/>
    <w:rsid w:val="00D756B1"/>
    <w:rsid w:val="00D76E92"/>
    <w:rsid w:val="00D778F0"/>
    <w:rsid w:val="00D77F86"/>
    <w:rsid w:val="00D80821"/>
    <w:rsid w:val="00D8114C"/>
    <w:rsid w:val="00D90D67"/>
    <w:rsid w:val="00D950CB"/>
    <w:rsid w:val="00D9690E"/>
    <w:rsid w:val="00D9708C"/>
    <w:rsid w:val="00DA12BC"/>
    <w:rsid w:val="00DA1751"/>
    <w:rsid w:val="00DA2884"/>
    <w:rsid w:val="00DA2923"/>
    <w:rsid w:val="00DA3295"/>
    <w:rsid w:val="00DA5629"/>
    <w:rsid w:val="00DA726F"/>
    <w:rsid w:val="00DA76FA"/>
    <w:rsid w:val="00DB0C7A"/>
    <w:rsid w:val="00DB1224"/>
    <w:rsid w:val="00DB282B"/>
    <w:rsid w:val="00DB2B49"/>
    <w:rsid w:val="00DB30F8"/>
    <w:rsid w:val="00DB5EF1"/>
    <w:rsid w:val="00DB73BA"/>
    <w:rsid w:val="00DC1834"/>
    <w:rsid w:val="00DC1CA2"/>
    <w:rsid w:val="00DC28FE"/>
    <w:rsid w:val="00DC290C"/>
    <w:rsid w:val="00DC33B4"/>
    <w:rsid w:val="00DC4C71"/>
    <w:rsid w:val="00DC5820"/>
    <w:rsid w:val="00DD40B0"/>
    <w:rsid w:val="00DD4656"/>
    <w:rsid w:val="00DD47BC"/>
    <w:rsid w:val="00DE0DAA"/>
    <w:rsid w:val="00DE198D"/>
    <w:rsid w:val="00DE392B"/>
    <w:rsid w:val="00DF01DF"/>
    <w:rsid w:val="00DF2F18"/>
    <w:rsid w:val="00DF335E"/>
    <w:rsid w:val="00DF5E48"/>
    <w:rsid w:val="00DF5F00"/>
    <w:rsid w:val="00DF779E"/>
    <w:rsid w:val="00E00F63"/>
    <w:rsid w:val="00E018FB"/>
    <w:rsid w:val="00E026E7"/>
    <w:rsid w:val="00E0449A"/>
    <w:rsid w:val="00E05CDE"/>
    <w:rsid w:val="00E07328"/>
    <w:rsid w:val="00E105E1"/>
    <w:rsid w:val="00E10E86"/>
    <w:rsid w:val="00E10F21"/>
    <w:rsid w:val="00E112CB"/>
    <w:rsid w:val="00E11651"/>
    <w:rsid w:val="00E135C8"/>
    <w:rsid w:val="00E155B0"/>
    <w:rsid w:val="00E157EB"/>
    <w:rsid w:val="00E15F81"/>
    <w:rsid w:val="00E162EC"/>
    <w:rsid w:val="00E1719A"/>
    <w:rsid w:val="00E175E8"/>
    <w:rsid w:val="00E21DC0"/>
    <w:rsid w:val="00E23F25"/>
    <w:rsid w:val="00E23F86"/>
    <w:rsid w:val="00E24419"/>
    <w:rsid w:val="00E257EB"/>
    <w:rsid w:val="00E262C9"/>
    <w:rsid w:val="00E307AC"/>
    <w:rsid w:val="00E31B45"/>
    <w:rsid w:val="00E32A0B"/>
    <w:rsid w:val="00E36F07"/>
    <w:rsid w:val="00E408F8"/>
    <w:rsid w:val="00E42591"/>
    <w:rsid w:val="00E433B3"/>
    <w:rsid w:val="00E43F13"/>
    <w:rsid w:val="00E448AB"/>
    <w:rsid w:val="00E509DE"/>
    <w:rsid w:val="00E52D8B"/>
    <w:rsid w:val="00E53115"/>
    <w:rsid w:val="00E5456C"/>
    <w:rsid w:val="00E5514F"/>
    <w:rsid w:val="00E5549C"/>
    <w:rsid w:val="00E55C2C"/>
    <w:rsid w:val="00E55FAB"/>
    <w:rsid w:val="00E5664B"/>
    <w:rsid w:val="00E56678"/>
    <w:rsid w:val="00E5749D"/>
    <w:rsid w:val="00E60CF8"/>
    <w:rsid w:val="00E61935"/>
    <w:rsid w:val="00E67626"/>
    <w:rsid w:val="00E6763B"/>
    <w:rsid w:val="00E67E33"/>
    <w:rsid w:val="00E70785"/>
    <w:rsid w:val="00E71236"/>
    <w:rsid w:val="00E737CC"/>
    <w:rsid w:val="00E74957"/>
    <w:rsid w:val="00E7579F"/>
    <w:rsid w:val="00E84D56"/>
    <w:rsid w:val="00E85AC5"/>
    <w:rsid w:val="00E94DD5"/>
    <w:rsid w:val="00E95DB3"/>
    <w:rsid w:val="00EA0439"/>
    <w:rsid w:val="00EA2D28"/>
    <w:rsid w:val="00EA317E"/>
    <w:rsid w:val="00EA3B23"/>
    <w:rsid w:val="00EA560C"/>
    <w:rsid w:val="00EA68BD"/>
    <w:rsid w:val="00EA73B7"/>
    <w:rsid w:val="00EB22A4"/>
    <w:rsid w:val="00EB2551"/>
    <w:rsid w:val="00EB3CF3"/>
    <w:rsid w:val="00EB4E40"/>
    <w:rsid w:val="00EB4FF1"/>
    <w:rsid w:val="00EB5043"/>
    <w:rsid w:val="00EB58BD"/>
    <w:rsid w:val="00EB61BF"/>
    <w:rsid w:val="00EB7966"/>
    <w:rsid w:val="00EC0F5F"/>
    <w:rsid w:val="00EC0FFC"/>
    <w:rsid w:val="00EC1D59"/>
    <w:rsid w:val="00EC25D7"/>
    <w:rsid w:val="00EC34C7"/>
    <w:rsid w:val="00EC4416"/>
    <w:rsid w:val="00EC4463"/>
    <w:rsid w:val="00ED0EC9"/>
    <w:rsid w:val="00ED2E33"/>
    <w:rsid w:val="00ED3024"/>
    <w:rsid w:val="00ED4809"/>
    <w:rsid w:val="00ED71B6"/>
    <w:rsid w:val="00ED73CF"/>
    <w:rsid w:val="00ED7F92"/>
    <w:rsid w:val="00EE0CB2"/>
    <w:rsid w:val="00EE201E"/>
    <w:rsid w:val="00EE52E3"/>
    <w:rsid w:val="00EE5474"/>
    <w:rsid w:val="00EE5737"/>
    <w:rsid w:val="00EE7AA0"/>
    <w:rsid w:val="00EF0E10"/>
    <w:rsid w:val="00EF11C8"/>
    <w:rsid w:val="00EF2076"/>
    <w:rsid w:val="00EF2AFB"/>
    <w:rsid w:val="00EF30DE"/>
    <w:rsid w:val="00EF3722"/>
    <w:rsid w:val="00EF3E3A"/>
    <w:rsid w:val="00EF71FC"/>
    <w:rsid w:val="00EF7875"/>
    <w:rsid w:val="00F01104"/>
    <w:rsid w:val="00F01480"/>
    <w:rsid w:val="00F02800"/>
    <w:rsid w:val="00F02E0A"/>
    <w:rsid w:val="00F07693"/>
    <w:rsid w:val="00F13B73"/>
    <w:rsid w:val="00F16547"/>
    <w:rsid w:val="00F17122"/>
    <w:rsid w:val="00F17C73"/>
    <w:rsid w:val="00F229D2"/>
    <w:rsid w:val="00F230A4"/>
    <w:rsid w:val="00F26D0D"/>
    <w:rsid w:val="00F2709B"/>
    <w:rsid w:val="00F311B5"/>
    <w:rsid w:val="00F333EC"/>
    <w:rsid w:val="00F33D5C"/>
    <w:rsid w:val="00F357CA"/>
    <w:rsid w:val="00F35F42"/>
    <w:rsid w:val="00F4067D"/>
    <w:rsid w:val="00F41136"/>
    <w:rsid w:val="00F414C9"/>
    <w:rsid w:val="00F42902"/>
    <w:rsid w:val="00F431FB"/>
    <w:rsid w:val="00F4362F"/>
    <w:rsid w:val="00F44BC4"/>
    <w:rsid w:val="00F44C5C"/>
    <w:rsid w:val="00F454F9"/>
    <w:rsid w:val="00F45D2C"/>
    <w:rsid w:val="00F46653"/>
    <w:rsid w:val="00F46B0D"/>
    <w:rsid w:val="00F51A0D"/>
    <w:rsid w:val="00F5209A"/>
    <w:rsid w:val="00F53669"/>
    <w:rsid w:val="00F53ACB"/>
    <w:rsid w:val="00F54F2F"/>
    <w:rsid w:val="00F55BE6"/>
    <w:rsid w:val="00F5680A"/>
    <w:rsid w:val="00F60E46"/>
    <w:rsid w:val="00F6184E"/>
    <w:rsid w:val="00F634D4"/>
    <w:rsid w:val="00F644BE"/>
    <w:rsid w:val="00F6578F"/>
    <w:rsid w:val="00F659CF"/>
    <w:rsid w:val="00F70967"/>
    <w:rsid w:val="00F7134D"/>
    <w:rsid w:val="00F71690"/>
    <w:rsid w:val="00F71CCF"/>
    <w:rsid w:val="00F7226B"/>
    <w:rsid w:val="00F72506"/>
    <w:rsid w:val="00F727FE"/>
    <w:rsid w:val="00F73724"/>
    <w:rsid w:val="00F738B2"/>
    <w:rsid w:val="00F7499A"/>
    <w:rsid w:val="00F760D9"/>
    <w:rsid w:val="00F8007E"/>
    <w:rsid w:val="00F81C8A"/>
    <w:rsid w:val="00F81E0A"/>
    <w:rsid w:val="00F81F68"/>
    <w:rsid w:val="00F84805"/>
    <w:rsid w:val="00F84F63"/>
    <w:rsid w:val="00F85481"/>
    <w:rsid w:val="00F87C83"/>
    <w:rsid w:val="00F93644"/>
    <w:rsid w:val="00F94B55"/>
    <w:rsid w:val="00F96D5C"/>
    <w:rsid w:val="00FA24FE"/>
    <w:rsid w:val="00FA2B02"/>
    <w:rsid w:val="00FA3A63"/>
    <w:rsid w:val="00FA5346"/>
    <w:rsid w:val="00FA603D"/>
    <w:rsid w:val="00FA6978"/>
    <w:rsid w:val="00FB1115"/>
    <w:rsid w:val="00FB3447"/>
    <w:rsid w:val="00FB34B3"/>
    <w:rsid w:val="00FB35CD"/>
    <w:rsid w:val="00FB4AE4"/>
    <w:rsid w:val="00FB613A"/>
    <w:rsid w:val="00FB6302"/>
    <w:rsid w:val="00FC0DA8"/>
    <w:rsid w:val="00FC20D4"/>
    <w:rsid w:val="00FC28AC"/>
    <w:rsid w:val="00FC2AAF"/>
    <w:rsid w:val="00FC2FB6"/>
    <w:rsid w:val="00FC4CBF"/>
    <w:rsid w:val="00FC52B9"/>
    <w:rsid w:val="00FD3467"/>
    <w:rsid w:val="00FD36C5"/>
    <w:rsid w:val="00FD6991"/>
    <w:rsid w:val="00FD6A65"/>
    <w:rsid w:val="00FD6E8D"/>
    <w:rsid w:val="00FD73EF"/>
    <w:rsid w:val="00FD7651"/>
    <w:rsid w:val="00FD7B17"/>
    <w:rsid w:val="00FD7F5D"/>
    <w:rsid w:val="00FE00B0"/>
    <w:rsid w:val="00FE2C9F"/>
    <w:rsid w:val="00FE3217"/>
    <w:rsid w:val="00FE3669"/>
    <w:rsid w:val="00FE4F6F"/>
    <w:rsid w:val="00FE7111"/>
    <w:rsid w:val="00FE71A2"/>
    <w:rsid w:val="00FE76BE"/>
    <w:rsid w:val="00FE7A02"/>
    <w:rsid w:val="00FE7EF6"/>
    <w:rsid w:val="00FF1230"/>
    <w:rsid w:val="00FF3542"/>
    <w:rsid w:val="00FF3EF1"/>
    <w:rsid w:val="00FF4688"/>
    <w:rsid w:val="00FF487E"/>
    <w:rsid w:val="00FF781B"/>
  </w:rsids>
  <m:mathPr>
    <m:mathFont m:val="Cambria Math"/>
    <m:brkBin m:val="before"/>
    <m:brkBinSub m:val="--"/>
    <m:smallFrac/>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30777729"/>
  <w15:docId w15:val="{B549A4E1-4502-4FB1-A17F-DF6AB0B7A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uiPriority="0" w:qFormat="1"/>
    <w:lsdException w:name="heading 6"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2" w:unhideWhenUsed="1" w:qFormat="1"/>
    <w:lsdException w:name="List 2" w:semiHidden="1" w:unhideWhenUsed="1"/>
    <w:lsdException w:name="List 3" w:semiHidden="1"/>
    <w:lsdException w:name="List 4" w:semiHidden="1"/>
    <w:lsdException w:name="List 5" w:semiHidden="1" w:unhideWhenUsed="1"/>
    <w:lsdException w:name="List Bullet 2" w:semiHidden="1" w:uiPriority="19" w:unhideWhenUsed="1"/>
    <w:lsdException w:name="List Bullet 3" w:semiHidden="1" w:uiPriority="19" w:unhideWhenUsed="1"/>
    <w:lsdException w:name="List Bullet 4" w:semiHidden="1" w:uiPriority="19" w:unhideWhenUsed="1"/>
    <w:lsdException w:name="List Bullet 5" w:semiHidden="1" w:uiPriority="19" w:unhideWhenUsed="1"/>
    <w:lsdException w:name="List Number 2" w:semiHidden="1" w:uiPriority="19" w:unhideWhenUsed="1"/>
    <w:lsdException w:name="List Number 3" w:semiHidden="1" w:uiPriority="19" w:unhideWhenUsed="1"/>
    <w:lsdException w:name="List Number 4" w:semiHidden="1" w:uiPriority="19" w:unhideWhenUsed="1"/>
    <w:lsdException w:name="List Number 5" w:semiHidden="1" w:uiPriority="19" w:unhideWhenUsed="1"/>
    <w:lsdException w:name="Title" w:uiPriority="9"/>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uiPriority="10"/>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7"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253E"/>
    <w:pPr>
      <w:spacing w:before="0" w:after="0"/>
    </w:pPr>
    <w:rPr>
      <w:rFonts w:ascii="Gotham Thin" w:hAnsi="Gotham Thin"/>
      <w:sz w:val="20"/>
    </w:rPr>
  </w:style>
  <w:style w:type="paragraph" w:styleId="Heading1">
    <w:name w:val="heading 1"/>
    <w:basedOn w:val="Normal"/>
    <w:next w:val="BodyText"/>
    <w:link w:val="Heading1Char"/>
    <w:qFormat/>
    <w:rsid w:val="00AF22A1"/>
    <w:pPr>
      <w:keepNext/>
      <w:keepLines/>
      <w:pageBreakBefore/>
      <w:widowControl w:val="0"/>
      <w:spacing w:after="240"/>
      <w:outlineLvl w:val="0"/>
    </w:pPr>
    <w:rPr>
      <w:rFonts w:ascii="Gotham" w:eastAsia="Times New Roman" w:hAnsi="Gotham" w:cs="Arial"/>
      <w:bCs/>
      <w:sz w:val="32"/>
      <w:szCs w:val="32"/>
      <w:lang w:eastAsia="en-AU"/>
    </w:rPr>
  </w:style>
  <w:style w:type="paragraph" w:styleId="Heading2">
    <w:name w:val="heading 2"/>
    <w:basedOn w:val="Normal"/>
    <w:next w:val="BodyText"/>
    <w:link w:val="Heading2Char"/>
    <w:qFormat/>
    <w:rsid w:val="002E6048"/>
    <w:pPr>
      <w:keepNext/>
      <w:keepLines/>
      <w:spacing w:before="120" w:after="120"/>
      <w:outlineLvl w:val="1"/>
    </w:pPr>
    <w:rPr>
      <w:rFonts w:ascii="Gotham" w:eastAsia="Times New Roman" w:hAnsi="Gotham" w:cs="Arial"/>
      <w:bCs/>
      <w:iCs/>
      <w:color w:val="324851"/>
      <w:sz w:val="28"/>
      <w:szCs w:val="28"/>
      <w:lang w:eastAsia="en-AU"/>
    </w:rPr>
  </w:style>
  <w:style w:type="paragraph" w:styleId="Heading3">
    <w:name w:val="heading 3"/>
    <w:basedOn w:val="Normal"/>
    <w:next w:val="BodyText"/>
    <w:link w:val="Heading3Char"/>
    <w:qFormat/>
    <w:rsid w:val="002E6048"/>
    <w:pPr>
      <w:keepNext/>
      <w:keepLines/>
      <w:spacing w:before="120" w:after="120"/>
      <w:outlineLvl w:val="2"/>
    </w:pPr>
    <w:rPr>
      <w:rFonts w:eastAsia="Times New Roman" w:cs="Times New Roman"/>
      <w:bCs/>
      <w:color w:val="324851"/>
      <w:sz w:val="26"/>
      <w:szCs w:val="24"/>
      <w:lang w:eastAsia="en-AU"/>
    </w:rPr>
  </w:style>
  <w:style w:type="paragraph" w:styleId="Heading4">
    <w:name w:val="heading 4"/>
    <w:basedOn w:val="Normal"/>
    <w:next w:val="BodyText"/>
    <w:link w:val="Heading4Char"/>
    <w:qFormat/>
    <w:rsid w:val="002E6048"/>
    <w:pPr>
      <w:keepNext/>
      <w:keepLines/>
      <w:spacing w:before="120" w:after="120"/>
      <w:outlineLvl w:val="3"/>
    </w:pPr>
    <w:rPr>
      <w:rFonts w:ascii="Gotham" w:eastAsia="Times New Roman" w:hAnsi="Gotham" w:cs="Times New Roman"/>
      <w:bCs/>
      <w:color w:val="122872"/>
      <w:sz w:val="24"/>
      <w:lang w:eastAsia="en-AU"/>
    </w:rPr>
  </w:style>
  <w:style w:type="paragraph" w:styleId="Heading5">
    <w:name w:val="heading 5"/>
    <w:basedOn w:val="Normal"/>
    <w:next w:val="BodyText"/>
    <w:link w:val="Heading5Char"/>
    <w:qFormat/>
    <w:rsid w:val="002E6048"/>
    <w:pPr>
      <w:keepNext/>
      <w:keepLines/>
      <w:spacing w:before="120" w:after="120"/>
      <w:outlineLvl w:val="4"/>
    </w:pPr>
    <w:rPr>
      <w:rFonts w:eastAsia="Times New Roman" w:cs="Times New Roman"/>
      <w:bCs/>
      <w:iCs/>
      <w:color w:val="122872"/>
      <w:szCs w:val="26"/>
      <w:lang w:eastAsia="en-AU"/>
    </w:rPr>
  </w:style>
  <w:style w:type="paragraph" w:styleId="Heading6">
    <w:name w:val="heading 6"/>
    <w:basedOn w:val="Normal"/>
    <w:next w:val="Normal"/>
    <w:link w:val="Heading6Char"/>
    <w:uiPriority w:val="99"/>
    <w:semiHidden/>
    <w:qFormat/>
    <w:rsid w:val="00D00F4A"/>
    <w:pPr>
      <w:spacing w:before="120" w:after="120"/>
      <w:outlineLvl w:val="5"/>
    </w:pPr>
    <w:rPr>
      <w:rFonts w:eastAsia="Times New Roman" w:cs="Times New Roman"/>
      <w:bCs/>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92253E"/>
    <w:pPr>
      <w:spacing w:before="120" w:after="120" w:line="264" w:lineRule="auto"/>
    </w:pPr>
    <w:rPr>
      <w:rFonts w:eastAsia="Times New Roman" w:cs="Times New Roman"/>
      <w:szCs w:val="24"/>
      <w:lang w:eastAsia="en-AU"/>
    </w:rPr>
  </w:style>
  <w:style w:type="character" w:customStyle="1" w:styleId="BodyTextChar">
    <w:name w:val="Body Text Char"/>
    <w:basedOn w:val="DefaultParagraphFont"/>
    <w:link w:val="BodyText"/>
    <w:rsid w:val="0092253E"/>
    <w:rPr>
      <w:rFonts w:ascii="Gotham Thin" w:eastAsia="Times New Roman" w:hAnsi="Gotham Thin" w:cs="Times New Roman"/>
      <w:sz w:val="20"/>
      <w:szCs w:val="24"/>
      <w:lang w:eastAsia="en-AU"/>
    </w:rPr>
  </w:style>
  <w:style w:type="character" w:customStyle="1" w:styleId="Heading1Char">
    <w:name w:val="Heading 1 Char"/>
    <w:basedOn w:val="DefaultParagraphFont"/>
    <w:link w:val="Heading1"/>
    <w:rsid w:val="00AF22A1"/>
    <w:rPr>
      <w:rFonts w:ascii="Gotham" w:eastAsia="Times New Roman" w:hAnsi="Gotham" w:cs="Arial"/>
      <w:bCs/>
      <w:sz w:val="32"/>
      <w:szCs w:val="32"/>
      <w:lang w:eastAsia="en-AU"/>
    </w:rPr>
  </w:style>
  <w:style w:type="character" w:customStyle="1" w:styleId="Heading2Char">
    <w:name w:val="Heading 2 Char"/>
    <w:basedOn w:val="DefaultParagraphFont"/>
    <w:link w:val="Heading2"/>
    <w:rsid w:val="002E6048"/>
    <w:rPr>
      <w:rFonts w:ascii="Gotham" w:eastAsia="Times New Roman" w:hAnsi="Gotham" w:cs="Arial"/>
      <w:bCs/>
      <w:iCs/>
      <w:color w:val="324851"/>
      <w:sz w:val="28"/>
      <w:szCs w:val="28"/>
      <w:lang w:eastAsia="en-AU"/>
    </w:rPr>
  </w:style>
  <w:style w:type="character" w:customStyle="1" w:styleId="Heading3Char">
    <w:name w:val="Heading 3 Char"/>
    <w:basedOn w:val="DefaultParagraphFont"/>
    <w:link w:val="Heading3"/>
    <w:rsid w:val="002E6048"/>
    <w:rPr>
      <w:rFonts w:ascii="Gotham Thin" w:eastAsia="Times New Roman" w:hAnsi="Gotham Thin" w:cs="Times New Roman"/>
      <w:bCs/>
      <w:color w:val="324851"/>
      <w:sz w:val="26"/>
      <w:szCs w:val="24"/>
      <w:lang w:eastAsia="en-AU"/>
    </w:rPr>
  </w:style>
  <w:style w:type="character" w:customStyle="1" w:styleId="Heading4Char">
    <w:name w:val="Heading 4 Char"/>
    <w:basedOn w:val="DefaultParagraphFont"/>
    <w:link w:val="Heading4"/>
    <w:rsid w:val="002E6048"/>
    <w:rPr>
      <w:rFonts w:ascii="Gotham" w:eastAsia="Times New Roman" w:hAnsi="Gotham" w:cs="Times New Roman"/>
      <w:bCs/>
      <w:color w:val="122872"/>
      <w:sz w:val="24"/>
      <w:lang w:eastAsia="en-AU"/>
    </w:rPr>
  </w:style>
  <w:style w:type="paragraph" w:customStyle="1" w:styleId="NbrHeading1">
    <w:name w:val="Nbr Heading 1"/>
    <w:basedOn w:val="Heading1"/>
    <w:next w:val="BodyText"/>
    <w:uiPriority w:val="9"/>
    <w:qFormat/>
    <w:rsid w:val="00D00F4A"/>
    <w:pPr>
      <w:numPr>
        <w:ilvl w:val="1"/>
        <w:numId w:val="22"/>
      </w:numPr>
    </w:pPr>
    <w:rPr>
      <w:bCs w:val="0"/>
    </w:rPr>
  </w:style>
  <w:style w:type="paragraph" w:customStyle="1" w:styleId="NbrHeading2">
    <w:name w:val="Nbr Heading 2"/>
    <w:basedOn w:val="Heading2"/>
    <w:next w:val="BodyText"/>
    <w:uiPriority w:val="9"/>
    <w:qFormat/>
    <w:rsid w:val="00D00F4A"/>
    <w:pPr>
      <w:numPr>
        <w:ilvl w:val="2"/>
        <w:numId w:val="22"/>
      </w:numPr>
    </w:pPr>
  </w:style>
  <w:style w:type="paragraph" w:customStyle="1" w:styleId="NbrHeading3">
    <w:name w:val="Nbr Heading 3"/>
    <w:basedOn w:val="Heading3"/>
    <w:next w:val="BodyText"/>
    <w:uiPriority w:val="9"/>
    <w:qFormat/>
    <w:rsid w:val="00D00F4A"/>
    <w:pPr>
      <w:numPr>
        <w:ilvl w:val="3"/>
        <w:numId w:val="22"/>
      </w:numPr>
    </w:pPr>
  </w:style>
  <w:style w:type="paragraph" w:customStyle="1" w:styleId="NbrHeading4">
    <w:name w:val="Nbr Heading 4"/>
    <w:basedOn w:val="Heading4"/>
    <w:next w:val="BodyText"/>
    <w:uiPriority w:val="9"/>
    <w:qFormat/>
    <w:rsid w:val="002E6048"/>
    <w:pPr>
      <w:numPr>
        <w:ilvl w:val="4"/>
        <w:numId w:val="22"/>
      </w:numPr>
    </w:pPr>
  </w:style>
  <w:style w:type="paragraph" w:styleId="Title">
    <w:name w:val="Title"/>
    <w:basedOn w:val="Normal"/>
    <w:next w:val="BodyText"/>
    <w:link w:val="TitleChar"/>
    <w:uiPriority w:val="9"/>
    <w:rsid w:val="00D00F4A"/>
    <w:pPr>
      <w:spacing w:before="360" w:after="360"/>
    </w:pPr>
    <w:rPr>
      <w:rFonts w:asciiTheme="majorHAnsi" w:eastAsiaTheme="majorEastAsia" w:hAnsiTheme="majorHAnsi" w:cstheme="majorBidi"/>
      <w:caps/>
      <w:color w:val="FFFFFF" w:themeColor="background1"/>
      <w:sz w:val="40"/>
      <w:szCs w:val="52"/>
    </w:rPr>
  </w:style>
  <w:style w:type="character" w:customStyle="1" w:styleId="TitleChar">
    <w:name w:val="Title Char"/>
    <w:basedOn w:val="DefaultParagraphFont"/>
    <w:link w:val="Title"/>
    <w:uiPriority w:val="9"/>
    <w:rsid w:val="00D00F4A"/>
    <w:rPr>
      <w:rFonts w:asciiTheme="majorHAnsi" w:eastAsiaTheme="majorEastAsia" w:hAnsiTheme="majorHAnsi" w:cstheme="majorBidi"/>
      <w:caps/>
      <w:color w:val="FFFFFF" w:themeColor="background1"/>
      <w:sz w:val="40"/>
      <w:szCs w:val="52"/>
    </w:rPr>
  </w:style>
  <w:style w:type="paragraph" w:styleId="Subtitle">
    <w:name w:val="Subtitle"/>
    <w:basedOn w:val="Normal"/>
    <w:next w:val="BodyText"/>
    <w:link w:val="SubtitleChar"/>
    <w:uiPriority w:val="10"/>
    <w:rsid w:val="00D00F4A"/>
    <w:pPr>
      <w:numPr>
        <w:ilvl w:val="1"/>
      </w:numPr>
      <w:spacing w:before="240" w:after="840"/>
    </w:pPr>
    <w:rPr>
      <w:rFonts w:asciiTheme="majorHAnsi" w:eastAsiaTheme="majorEastAsia" w:hAnsiTheme="majorHAnsi" w:cstheme="majorBidi"/>
      <w:iCs/>
      <w:caps/>
      <w:color w:val="FFFFFF" w:themeColor="background1"/>
      <w:sz w:val="36"/>
      <w:szCs w:val="24"/>
    </w:rPr>
  </w:style>
  <w:style w:type="character" w:customStyle="1" w:styleId="SubtitleChar">
    <w:name w:val="Subtitle Char"/>
    <w:basedOn w:val="DefaultParagraphFont"/>
    <w:link w:val="Subtitle"/>
    <w:uiPriority w:val="10"/>
    <w:rsid w:val="00D00F4A"/>
    <w:rPr>
      <w:rFonts w:asciiTheme="majorHAnsi" w:eastAsiaTheme="majorEastAsia" w:hAnsiTheme="majorHAnsi" w:cstheme="majorBidi"/>
      <w:iCs/>
      <w:caps/>
      <w:color w:val="FFFFFF" w:themeColor="background1"/>
      <w:sz w:val="36"/>
      <w:szCs w:val="24"/>
    </w:rPr>
  </w:style>
  <w:style w:type="paragraph" w:styleId="BodyText2">
    <w:name w:val="Body Text 2"/>
    <w:basedOn w:val="BodyText"/>
    <w:link w:val="BodyText2Char"/>
    <w:uiPriority w:val="99"/>
    <w:semiHidden/>
    <w:qFormat/>
    <w:rsid w:val="00D00F4A"/>
    <w:pPr>
      <w:numPr>
        <w:ilvl w:val="1"/>
      </w:numPr>
      <w:tabs>
        <w:tab w:val="left" w:pos="567"/>
      </w:tabs>
    </w:pPr>
  </w:style>
  <w:style w:type="character" w:customStyle="1" w:styleId="BodyText2Char">
    <w:name w:val="Body Text 2 Char"/>
    <w:basedOn w:val="DefaultParagraphFont"/>
    <w:link w:val="BodyText2"/>
    <w:uiPriority w:val="99"/>
    <w:semiHidden/>
    <w:rsid w:val="00D00F4A"/>
    <w:rPr>
      <w:rFonts w:eastAsia="Times New Roman" w:cs="Times New Roman"/>
      <w:szCs w:val="24"/>
      <w:lang w:eastAsia="en-AU"/>
    </w:rPr>
  </w:style>
  <w:style w:type="paragraph" w:styleId="Header">
    <w:name w:val="header"/>
    <w:basedOn w:val="Normal"/>
    <w:link w:val="HeaderChar"/>
    <w:uiPriority w:val="99"/>
    <w:unhideWhenUsed/>
    <w:rsid w:val="00D00F4A"/>
    <w:pPr>
      <w:spacing w:before="420"/>
      <w:ind w:right="-1"/>
    </w:pPr>
    <w:rPr>
      <w:caps/>
    </w:rPr>
  </w:style>
  <w:style w:type="character" w:customStyle="1" w:styleId="HeaderChar">
    <w:name w:val="Header Char"/>
    <w:basedOn w:val="DefaultParagraphFont"/>
    <w:link w:val="Header"/>
    <w:uiPriority w:val="99"/>
    <w:rsid w:val="00D00F4A"/>
    <w:rPr>
      <w:caps/>
      <w:sz w:val="20"/>
    </w:rPr>
  </w:style>
  <w:style w:type="paragraph" w:styleId="Footer">
    <w:name w:val="footer"/>
    <w:basedOn w:val="Normal"/>
    <w:link w:val="FooterChar"/>
    <w:uiPriority w:val="99"/>
    <w:unhideWhenUsed/>
    <w:rsid w:val="00D00F4A"/>
    <w:pPr>
      <w:pBdr>
        <w:top w:val="single" w:sz="4" w:space="6" w:color="324851" w:themeColor="accent1"/>
      </w:pBdr>
      <w:tabs>
        <w:tab w:val="right" w:pos="9639"/>
      </w:tabs>
    </w:pPr>
    <w:rPr>
      <w:caps/>
      <w:noProof/>
      <w:lang w:eastAsia="en-AU"/>
    </w:rPr>
  </w:style>
  <w:style w:type="character" w:customStyle="1" w:styleId="FooterChar">
    <w:name w:val="Footer Char"/>
    <w:basedOn w:val="DefaultParagraphFont"/>
    <w:link w:val="Footer"/>
    <w:uiPriority w:val="99"/>
    <w:rsid w:val="00D00F4A"/>
    <w:rPr>
      <w:caps/>
      <w:noProof/>
      <w:sz w:val="20"/>
      <w:lang w:eastAsia="en-AU"/>
    </w:rPr>
  </w:style>
  <w:style w:type="paragraph" w:styleId="ListNumber0">
    <w:name w:val="List Number"/>
    <w:basedOn w:val="Normal"/>
    <w:uiPriority w:val="2"/>
    <w:qFormat/>
    <w:rsid w:val="00D00F4A"/>
    <w:pPr>
      <w:numPr>
        <w:numId w:val="5"/>
      </w:numPr>
      <w:spacing w:before="120" w:after="120" w:line="264" w:lineRule="auto"/>
    </w:pPr>
    <w:rPr>
      <w:rFonts w:eastAsia="Times New Roman" w:cs="Times New Roman"/>
      <w:szCs w:val="24"/>
      <w:lang w:eastAsia="en-AU"/>
    </w:rPr>
  </w:style>
  <w:style w:type="paragraph" w:styleId="ListBullet0">
    <w:name w:val="List Bullet"/>
    <w:basedOn w:val="Normal"/>
    <w:uiPriority w:val="1"/>
    <w:qFormat/>
    <w:rsid w:val="0092253E"/>
    <w:pPr>
      <w:numPr>
        <w:numId w:val="3"/>
      </w:numPr>
      <w:spacing w:before="120" w:after="120" w:line="264" w:lineRule="auto"/>
    </w:pPr>
    <w:rPr>
      <w:rFonts w:eastAsia="Times New Roman" w:cs="Times New Roman"/>
      <w:szCs w:val="24"/>
      <w:lang w:eastAsia="en-AU"/>
    </w:rPr>
  </w:style>
  <w:style w:type="paragraph" w:styleId="TOCHeading">
    <w:name w:val="TOC Heading"/>
    <w:basedOn w:val="Heading1"/>
    <w:next w:val="Normal"/>
    <w:uiPriority w:val="39"/>
    <w:qFormat/>
    <w:rsid w:val="00D00F4A"/>
    <w:pPr>
      <w:pageBreakBefore w:val="0"/>
      <w:spacing w:before="360"/>
    </w:pPr>
  </w:style>
  <w:style w:type="character" w:styleId="Hyperlink">
    <w:name w:val="Hyperlink"/>
    <w:basedOn w:val="DefaultParagraphFont"/>
    <w:uiPriority w:val="99"/>
    <w:qFormat/>
    <w:rsid w:val="002E6048"/>
    <w:rPr>
      <w:color w:val="324851"/>
      <w:u w:val="single"/>
    </w:rPr>
  </w:style>
  <w:style w:type="paragraph" w:styleId="TOC1">
    <w:name w:val="toc 1"/>
    <w:basedOn w:val="Normal"/>
    <w:next w:val="Normal"/>
    <w:uiPriority w:val="39"/>
    <w:rsid w:val="00AF22A1"/>
    <w:pPr>
      <w:keepNext/>
      <w:tabs>
        <w:tab w:val="right" w:leader="dot" w:pos="9639"/>
      </w:tabs>
      <w:spacing w:before="120" w:after="40"/>
    </w:pPr>
    <w:rPr>
      <w:b/>
      <w:sz w:val="24"/>
    </w:rPr>
  </w:style>
  <w:style w:type="paragraph" w:styleId="TOC2">
    <w:name w:val="toc 2"/>
    <w:basedOn w:val="Normal"/>
    <w:next w:val="Normal"/>
    <w:uiPriority w:val="39"/>
    <w:rsid w:val="00D00F4A"/>
    <w:pPr>
      <w:tabs>
        <w:tab w:val="right" w:pos="9639"/>
      </w:tabs>
      <w:spacing w:before="20" w:after="20"/>
      <w:ind w:right="567"/>
    </w:pPr>
    <w:rPr>
      <w:sz w:val="24"/>
    </w:rPr>
  </w:style>
  <w:style w:type="paragraph" w:styleId="TOC3">
    <w:name w:val="toc 3"/>
    <w:basedOn w:val="Normal"/>
    <w:next w:val="Normal"/>
    <w:uiPriority w:val="39"/>
    <w:rsid w:val="00D00F4A"/>
    <w:pPr>
      <w:tabs>
        <w:tab w:val="right" w:pos="9639"/>
      </w:tabs>
      <w:spacing w:before="20" w:after="20"/>
    </w:pPr>
    <w:rPr>
      <w:noProof/>
    </w:rPr>
  </w:style>
  <w:style w:type="table" w:styleId="TableGrid">
    <w:name w:val="Table Grid"/>
    <w:basedOn w:val="TableNormal"/>
    <w:uiPriority w:val="39"/>
    <w:rsid w:val="00D00F4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angeTable2Secondary">
    <w:name w:val="Orange Table 2 (Secondary)"/>
    <w:basedOn w:val="OrangeTable1Secondary"/>
    <w:uiPriority w:val="99"/>
    <w:rsid w:val="00D00F4A"/>
    <w:tblPr>
      <w:tblBorders>
        <w:top w:val="none" w:sz="0" w:space="0" w:color="auto"/>
        <w:left w:val="none" w:sz="0" w:space="0" w:color="auto"/>
        <w:bottom w:val="single" w:sz="4" w:space="0" w:color="324851" w:themeColor="accent1"/>
        <w:right w:val="none" w:sz="0" w:space="0" w:color="auto"/>
        <w:insideH w:val="single" w:sz="4" w:space="0" w:color="324851" w:themeColor="accent1"/>
        <w:insideV w:val="none" w:sz="0" w:space="0" w:color="auto"/>
      </w:tblBorders>
    </w:tblPr>
    <w:tcPr>
      <w:shd w:val="clear" w:color="auto" w:fill="auto"/>
    </w:tcPr>
    <w:tblStylePr w:type="firstRow">
      <w:rPr>
        <w:color w:val="auto"/>
      </w:rPr>
      <w:tblPr/>
      <w:trPr>
        <w:tblHeader/>
      </w:trPr>
      <w:tcPr>
        <w:tcBorders>
          <w:top w:val="nil"/>
          <w:left w:val="nil"/>
          <w:bottom w:val="single" w:sz="4" w:space="0" w:color="FFFFFF" w:themeColor="background1"/>
          <w:right w:val="nil"/>
          <w:insideH w:val="single" w:sz="4" w:space="0" w:color="FFFFFF" w:themeColor="background1"/>
          <w:insideV w:val="nil"/>
          <w:tl2br w:val="nil"/>
          <w:tr2bl w:val="nil"/>
        </w:tcBorders>
        <w:shd w:val="clear" w:color="auto" w:fill="324851" w:themeFill="accent1"/>
      </w:tcPr>
    </w:tblStylePr>
    <w:tblStylePr w:type="lastRow">
      <w:rPr>
        <w:b/>
      </w:rPr>
      <w:tblPr/>
      <w:tcPr>
        <w:shd w:val="clear" w:color="auto" w:fill="A1BAC5" w:themeFill="accent1" w:themeFillTint="66"/>
      </w:tcPr>
    </w:tblStylePr>
    <w:tblStylePr w:type="firstCol">
      <w:rPr>
        <w:color w:val="auto"/>
      </w:rPr>
      <w:tblPr/>
      <w:tcPr>
        <w:tcBorders>
          <w:insideH w:val="nil"/>
        </w:tcBorders>
        <w:shd w:val="clear" w:color="auto" w:fill="324851" w:themeFill="accent1"/>
      </w:tcPr>
    </w:tblStylePr>
    <w:tblStylePr w:type="lastCol">
      <w:tblPr/>
      <w:tcPr>
        <w:shd w:val="clear" w:color="auto" w:fill="D0DCE2" w:themeFill="accent1" w:themeFillTint="33"/>
      </w:tcPr>
    </w:tblStylePr>
    <w:tblStylePr w:type="band2Vert">
      <w:tblPr/>
      <w:tcPr>
        <w:shd w:val="clear" w:color="auto" w:fill="D0DCE2" w:themeFill="accent1" w:themeFillTint="33"/>
      </w:tcPr>
    </w:tblStylePr>
    <w:tblStylePr w:type="band2Horz">
      <w:tblPr/>
      <w:tcPr>
        <w:shd w:val="clear" w:color="auto" w:fill="D0DCE2" w:themeFill="accent1" w:themeFillTint="33"/>
      </w:tcPr>
    </w:tblStylePr>
  </w:style>
  <w:style w:type="paragraph" w:customStyle="1" w:styleId="TableHeading">
    <w:name w:val="Table Heading"/>
    <w:basedOn w:val="Normal"/>
    <w:next w:val="BodyText"/>
    <w:uiPriority w:val="3"/>
    <w:qFormat/>
    <w:rsid w:val="00AF22A1"/>
    <w:pPr>
      <w:keepNext/>
      <w:keepLines/>
      <w:spacing w:before="80" w:after="80"/>
      <w:ind w:left="113" w:right="113"/>
    </w:pPr>
    <w:rPr>
      <w:b/>
    </w:rPr>
  </w:style>
  <w:style w:type="paragraph" w:customStyle="1" w:styleId="TableText">
    <w:name w:val="Table Text"/>
    <w:basedOn w:val="Normal"/>
    <w:uiPriority w:val="3"/>
    <w:qFormat/>
    <w:rsid w:val="0092253E"/>
    <w:pPr>
      <w:spacing w:before="60" w:after="60"/>
      <w:ind w:left="113" w:right="113"/>
    </w:pPr>
    <w:rPr>
      <w:sz w:val="18"/>
    </w:rPr>
  </w:style>
  <w:style w:type="paragraph" w:customStyle="1" w:styleId="TableBullet">
    <w:name w:val="Table Bullet"/>
    <w:basedOn w:val="TableText"/>
    <w:uiPriority w:val="5"/>
    <w:qFormat/>
    <w:rsid w:val="00D00F4A"/>
    <w:pPr>
      <w:numPr>
        <w:numId w:val="10"/>
      </w:numPr>
    </w:pPr>
    <w:rPr>
      <w:rFonts w:eastAsia="Times New Roman" w:cs="Times New Roman"/>
      <w:szCs w:val="24"/>
      <w:lang w:eastAsia="en-AU"/>
    </w:rPr>
  </w:style>
  <w:style w:type="paragraph" w:customStyle="1" w:styleId="TableNumber">
    <w:name w:val="Table Number"/>
    <w:basedOn w:val="TableText"/>
    <w:uiPriority w:val="4"/>
    <w:qFormat/>
    <w:rsid w:val="00D00F4A"/>
    <w:pPr>
      <w:numPr>
        <w:numId w:val="11"/>
      </w:numPr>
    </w:pPr>
  </w:style>
  <w:style w:type="character" w:customStyle="1" w:styleId="Heading5Char">
    <w:name w:val="Heading 5 Char"/>
    <w:basedOn w:val="DefaultParagraphFont"/>
    <w:link w:val="Heading5"/>
    <w:rsid w:val="002E6048"/>
    <w:rPr>
      <w:rFonts w:ascii="Gotham Thin" w:eastAsia="Times New Roman" w:hAnsi="Gotham Thin" w:cs="Times New Roman"/>
      <w:bCs/>
      <w:iCs/>
      <w:color w:val="122872"/>
      <w:szCs w:val="26"/>
      <w:lang w:eastAsia="en-AU"/>
    </w:rPr>
  </w:style>
  <w:style w:type="character" w:customStyle="1" w:styleId="Heading6Char">
    <w:name w:val="Heading 6 Char"/>
    <w:basedOn w:val="DefaultParagraphFont"/>
    <w:link w:val="Heading6"/>
    <w:uiPriority w:val="99"/>
    <w:semiHidden/>
    <w:rsid w:val="00D00F4A"/>
    <w:rPr>
      <w:rFonts w:eastAsia="Times New Roman" w:cs="Times New Roman"/>
      <w:bCs/>
      <w:lang w:eastAsia="en-AU"/>
    </w:rPr>
  </w:style>
  <w:style w:type="paragraph" w:styleId="BodyText3">
    <w:name w:val="Body Text 3"/>
    <w:basedOn w:val="BodyText"/>
    <w:link w:val="BodyText3Char"/>
    <w:uiPriority w:val="99"/>
    <w:semiHidden/>
    <w:qFormat/>
    <w:rsid w:val="00D00F4A"/>
    <w:pPr>
      <w:numPr>
        <w:ilvl w:val="2"/>
      </w:numPr>
    </w:pPr>
    <w:rPr>
      <w:szCs w:val="16"/>
    </w:rPr>
  </w:style>
  <w:style w:type="character" w:customStyle="1" w:styleId="BodyText3Char">
    <w:name w:val="Body Text 3 Char"/>
    <w:basedOn w:val="DefaultParagraphFont"/>
    <w:link w:val="BodyText3"/>
    <w:uiPriority w:val="99"/>
    <w:semiHidden/>
    <w:rsid w:val="00D00F4A"/>
    <w:rPr>
      <w:rFonts w:eastAsia="Times New Roman" w:cs="Times New Roman"/>
      <w:szCs w:val="16"/>
      <w:lang w:eastAsia="en-AU"/>
    </w:rPr>
  </w:style>
  <w:style w:type="paragraph" w:styleId="ListParagraph0">
    <w:name w:val="List Paragraph"/>
    <w:aliases w:val="Recommendation,standard lewis,List Paragraph1,F5 List Paragraph,Dot pt,No Spacing1,List Paragraph Char Char Char,Indicator Text,Numbered Para 1,Colorful List - Accent 11,Bullet 1,Bullet Points,MAIN CONTENT,Body Text Numbered"/>
    <w:basedOn w:val="ListBullet0"/>
    <w:link w:val="ListParagraphChar"/>
    <w:uiPriority w:val="34"/>
    <w:qFormat/>
    <w:rsid w:val="00D00F4A"/>
    <w:pPr>
      <w:numPr>
        <w:numId w:val="7"/>
      </w:numPr>
    </w:pPr>
  </w:style>
  <w:style w:type="paragraph" w:styleId="TOC4">
    <w:name w:val="toc 4"/>
    <w:basedOn w:val="Normal"/>
    <w:next w:val="Normal"/>
    <w:uiPriority w:val="39"/>
    <w:rsid w:val="00D00F4A"/>
    <w:pPr>
      <w:tabs>
        <w:tab w:val="right" w:pos="9639"/>
      </w:tabs>
      <w:ind w:left="567" w:hanging="567"/>
    </w:pPr>
    <w:rPr>
      <w:color w:val="414042" w:themeColor="accent2"/>
      <w:sz w:val="18"/>
    </w:rPr>
  </w:style>
  <w:style w:type="paragraph" w:customStyle="1" w:styleId="NbrHeading5">
    <w:name w:val="Nbr Heading 5"/>
    <w:basedOn w:val="Heading5"/>
    <w:next w:val="BodyText"/>
    <w:uiPriority w:val="9"/>
    <w:qFormat/>
    <w:rsid w:val="00D00F4A"/>
    <w:pPr>
      <w:numPr>
        <w:ilvl w:val="5"/>
        <w:numId w:val="22"/>
      </w:numPr>
    </w:pPr>
  </w:style>
  <w:style w:type="table" w:customStyle="1" w:styleId="GreyTable1">
    <w:name w:val="Grey Table 1"/>
    <w:basedOn w:val="OrangeTable1Secondary"/>
    <w:uiPriority w:val="99"/>
    <w:rsid w:val="00D00F4A"/>
    <w:tblPr>
      <w:tblBorders>
        <w:top w:val="single" w:sz="4" w:space="0" w:color="D5D6D8" w:themeColor="accent6"/>
        <w:left w:val="single" w:sz="4" w:space="0" w:color="D5D6D8" w:themeColor="accent6"/>
        <w:bottom w:val="single" w:sz="4" w:space="0" w:color="D5D6D8" w:themeColor="accent6"/>
        <w:right w:val="single" w:sz="4" w:space="0" w:color="D5D6D8" w:themeColor="accent6"/>
        <w:insideH w:val="single" w:sz="4" w:space="0" w:color="D5D6D8" w:themeColor="accent6"/>
        <w:insideV w:val="single" w:sz="4" w:space="0" w:color="D5D6D8" w:themeColor="accent6"/>
      </w:tblBorders>
    </w:tblPr>
    <w:tcPr>
      <w:shd w:val="clear" w:color="auto" w:fill="auto"/>
    </w:tcPr>
    <w:tblStylePr w:type="firstRow">
      <w:rPr>
        <w:color w:val="FFFFFF" w:themeColor="background1"/>
      </w:rPr>
      <w:tblPr/>
      <w:trPr>
        <w:tblHeader/>
      </w:trPr>
      <w:tcPr>
        <w:tcBorders>
          <w:top w:val="single" w:sz="4" w:space="0" w:color="D5D6D8" w:themeColor="accent6"/>
          <w:left w:val="single" w:sz="4" w:space="0" w:color="D5D6D8" w:themeColor="accent6"/>
          <w:bottom w:val="single" w:sz="4" w:space="0" w:color="D5D6D8" w:themeColor="accent6"/>
          <w:right w:val="single" w:sz="4" w:space="0" w:color="D5D6D8" w:themeColor="accent6"/>
          <w:insideH w:val="single" w:sz="4" w:space="0" w:color="D5D6D8" w:themeColor="accent6"/>
          <w:insideV w:val="single" w:sz="4" w:space="0" w:color="D5D6D8" w:themeColor="accent6"/>
        </w:tcBorders>
        <w:shd w:val="clear" w:color="auto" w:fill="414042" w:themeFill="accent2"/>
      </w:tcPr>
    </w:tblStylePr>
    <w:tblStylePr w:type="lastRow">
      <w:rPr>
        <w:b/>
      </w:rPr>
      <w:tblPr/>
      <w:tcPr>
        <w:shd w:val="clear" w:color="auto" w:fill="D8D8D9" w:themeFill="text2" w:themeFillTint="33"/>
      </w:tcPr>
    </w:tblStylePr>
    <w:tblStylePr w:type="firstCol">
      <w:rPr>
        <w:color w:val="FFFFFF" w:themeColor="background1"/>
      </w:rPr>
      <w:tblPr/>
      <w:tcPr>
        <w:tcBorders>
          <w:insideH w:val="nil"/>
        </w:tcBorders>
        <w:shd w:val="clear" w:color="auto" w:fill="414042" w:themeFill="accent2"/>
      </w:tcPr>
    </w:tblStylePr>
    <w:tblStylePr w:type="lastCol">
      <w:tblPr/>
      <w:tcPr>
        <w:shd w:val="clear" w:color="auto" w:fill="F2F2F2" w:themeFill="background1" w:themeFillShade="F2"/>
      </w:tcPr>
    </w:tblStylePr>
    <w:tblStylePr w:type="band2Vert">
      <w:tblPr/>
      <w:tcPr>
        <w:shd w:val="clear" w:color="auto" w:fill="F2F2F2" w:themeFill="background1" w:themeFillShade="F2"/>
      </w:tcPr>
    </w:tblStylePr>
    <w:tblStylePr w:type="band2Horz">
      <w:tblPr/>
      <w:tcPr>
        <w:shd w:val="clear" w:color="auto" w:fill="F2F2F2" w:themeFill="background1" w:themeFillShade="F2"/>
      </w:tcPr>
    </w:tblStylePr>
  </w:style>
  <w:style w:type="paragraph" w:styleId="BalloonText">
    <w:name w:val="Balloon Text"/>
    <w:basedOn w:val="Normal"/>
    <w:link w:val="BalloonTextChar"/>
    <w:uiPriority w:val="99"/>
    <w:semiHidden/>
    <w:rsid w:val="00D00F4A"/>
    <w:rPr>
      <w:rFonts w:ascii="Tahoma" w:hAnsi="Tahoma" w:cs="Tahoma"/>
      <w:sz w:val="16"/>
      <w:szCs w:val="16"/>
    </w:rPr>
  </w:style>
  <w:style w:type="character" w:customStyle="1" w:styleId="BalloonTextChar">
    <w:name w:val="Balloon Text Char"/>
    <w:basedOn w:val="DefaultParagraphFont"/>
    <w:link w:val="BalloonText"/>
    <w:uiPriority w:val="99"/>
    <w:semiHidden/>
    <w:rsid w:val="00D00F4A"/>
    <w:rPr>
      <w:rFonts w:ascii="Tahoma" w:hAnsi="Tahoma" w:cs="Tahoma"/>
      <w:sz w:val="16"/>
      <w:szCs w:val="16"/>
    </w:rPr>
  </w:style>
  <w:style w:type="paragraph" w:styleId="Quote">
    <w:name w:val="Quote"/>
    <w:basedOn w:val="Normal"/>
    <w:next w:val="Normal"/>
    <w:link w:val="QuoteChar"/>
    <w:uiPriority w:val="7"/>
    <w:qFormat/>
    <w:rsid w:val="00D00F4A"/>
    <w:pPr>
      <w:spacing w:before="240" w:after="240"/>
      <w:ind w:left="567" w:right="567"/>
      <w:jc w:val="center"/>
    </w:pPr>
    <w:rPr>
      <w:i/>
      <w:iCs/>
      <w:sz w:val="24"/>
    </w:rPr>
  </w:style>
  <w:style w:type="character" w:customStyle="1" w:styleId="QuoteChar">
    <w:name w:val="Quote Char"/>
    <w:basedOn w:val="DefaultParagraphFont"/>
    <w:link w:val="Quote"/>
    <w:uiPriority w:val="7"/>
    <w:rsid w:val="00D00F4A"/>
    <w:rPr>
      <w:i/>
      <w:iCs/>
      <w:sz w:val="24"/>
    </w:rPr>
  </w:style>
  <w:style w:type="paragraph" w:customStyle="1" w:styleId="FigureCaption">
    <w:name w:val="Figure Caption"/>
    <w:basedOn w:val="Normal"/>
    <w:next w:val="FigureStyle"/>
    <w:uiPriority w:val="6"/>
    <w:qFormat/>
    <w:rsid w:val="0092253E"/>
    <w:pPr>
      <w:keepNext/>
      <w:tabs>
        <w:tab w:val="left" w:pos="1134"/>
      </w:tabs>
      <w:spacing w:before="240" w:after="120"/>
      <w:ind w:left="1134" w:hanging="1134"/>
    </w:pPr>
    <w:rPr>
      <w:color w:val="324851"/>
      <w:sz w:val="18"/>
    </w:rPr>
  </w:style>
  <w:style w:type="paragraph" w:customStyle="1" w:styleId="TableCaption">
    <w:name w:val="Table Caption"/>
    <w:basedOn w:val="Caption"/>
    <w:uiPriority w:val="6"/>
    <w:qFormat/>
    <w:rsid w:val="0092253E"/>
    <w:pPr>
      <w:keepNext/>
    </w:pPr>
    <w:rPr>
      <w:b w:val="0"/>
      <w:color w:val="324851"/>
      <w:sz w:val="18"/>
    </w:rPr>
  </w:style>
  <w:style w:type="paragraph" w:customStyle="1" w:styleId="FigureStyle">
    <w:name w:val="Figure Style"/>
    <w:basedOn w:val="BodyText"/>
    <w:next w:val="BodyText"/>
    <w:uiPriority w:val="6"/>
    <w:qFormat/>
    <w:rsid w:val="0092253E"/>
    <w:pPr>
      <w:spacing w:after="240" w:line="240" w:lineRule="auto"/>
      <w:jc w:val="center"/>
    </w:pPr>
    <w:rPr>
      <w:sz w:val="18"/>
    </w:rPr>
  </w:style>
  <w:style w:type="paragraph" w:styleId="TOC5">
    <w:name w:val="toc 5"/>
    <w:basedOn w:val="TOC1"/>
    <w:next w:val="Normal"/>
    <w:uiPriority w:val="39"/>
    <w:rsid w:val="00D00F4A"/>
    <w:pPr>
      <w:tabs>
        <w:tab w:val="left" w:pos="1134"/>
      </w:tabs>
      <w:ind w:left="1134" w:hanging="1134"/>
    </w:pPr>
    <w:rPr>
      <w:noProof/>
    </w:rPr>
  </w:style>
  <w:style w:type="paragraph" w:styleId="TOC6">
    <w:name w:val="toc 6"/>
    <w:basedOn w:val="TOC2"/>
    <w:next w:val="Normal"/>
    <w:uiPriority w:val="39"/>
    <w:rsid w:val="00DA2884"/>
    <w:pPr>
      <w:tabs>
        <w:tab w:val="left" w:pos="1134"/>
      </w:tabs>
      <w:ind w:left="1134" w:right="0" w:hanging="1134"/>
    </w:pPr>
    <w:rPr>
      <w:noProof/>
    </w:rPr>
  </w:style>
  <w:style w:type="paragraph" w:styleId="TOC7">
    <w:name w:val="toc 7"/>
    <w:basedOn w:val="TOC3"/>
    <w:next w:val="Normal"/>
    <w:uiPriority w:val="39"/>
    <w:rsid w:val="00D00F4A"/>
    <w:pPr>
      <w:tabs>
        <w:tab w:val="left" w:pos="1134"/>
      </w:tabs>
      <w:ind w:left="1134" w:hanging="1134"/>
    </w:pPr>
  </w:style>
  <w:style w:type="paragraph" w:styleId="TOC8">
    <w:name w:val="toc 8"/>
    <w:basedOn w:val="TOC4"/>
    <w:next w:val="Normal"/>
    <w:uiPriority w:val="39"/>
    <w:rsid w:val="00D00F4A"/>
    <w:pPr>
      <w:tabs>
        <w:tab w:val="left" w:pos="1134"/>
      </w:tabs>
      <w:spacing w:before="20" w:after="20"/>
      <w:ind w:left="1134" w:hanging="1134"/>
    </w:pPr>
    <w:rPr>
      <w:sz w:val="16"/>
    </w:rPr>
  </w:style>
  <w:style w:type="paragraph" w:styleId="TOC9">
    <w:name w:val="toc 9"/>
    <w:basedOn w:val="Normal"/>
    <w:next w:val="Normal"/>
    <w:uiPriority w:val="39"/>
    <w:rsid w:val="00D00F4A"/>
    <w:pPr>
      <w:tabs>
        <w:tab w:val="left" w:pos="1985"/>
        <w:tab w:val="right" w:leader="dot" w:pos="9639"/>
      </w:tabs>
      <w:spacing w:before="120" w:after="40"/>
      <w:ind w:left="1985" w:hanging="1985"/>
    </w:pPr>
    <w:rPr>
      <w:b/>
      <w:caps/>
      <w:noProof/>
      <w:sz w:val="24"/>
    </w:rPr>
  </w:style>
  <w:style w:type="numbering" w:customStyle="1" w:styleId="ListNumber">
    <w:name w:val="List_Number"/>
    <w:uiPriority w:val="99"/>
    <w:rsid w:val="00D00F4A"/>
    <w:pPr>
      <w:numPr>
        <w:numId w:val="5"/>
      </w:numPr>
    </w:pPr>
  </w:style>
  <w:style w:type="numbering" w:customStyle="1" w:styleId="ListParagraph">
    <w:name w:val="List_Paragraph"/>
    <w:uiPriority w:val="99"/>
    <w:rsid w:val="00D00F4A"/>
    <w:pPr>
      <w:numPr>
        <w:numId w:val="7"/>
      </w:numPr>
    </w:pPr>
  </w:style>
  <w:style w:type="paragraph" w:styleId="Caption">
    <w:name w:val="caption"/>
    <w:basedOn w:val="Normal"/>
    <w:next w:val="Normal"/>
    <w:link w:val="CaptionChar"/>
    <w:uiPriority w:val="35"/>
    <w:qFormat/>
    <w:rsid w:val="00D00F4A"/>
    <w:pPr>
      <w:tabs>
        <w:tab w:val="left" w:pos="1134"/>
      </w:tabs>
      <w:spacing w:before="240" w:after="120"/>
      <w:ind w:left="1134" w:hanging="1134"/>
    </w:pPr>
    <w:rPr>
      <w:b/>
    </w:rPr>
  </w:style>
  <w:style w:type="paragraph" w:customStyle="1" w:styleId="ListAlpha0">
    <w:name w:val="List Alpha"/>
    <w:basedOn w:val="BodyText"/>
    <w:uiPriority w:val="2"/>
    <w:qFormat/>
    <w:rsid w:val="00D00F4A"/>
    <w:pPr>
      <w:numPr>
        <w:numId w:val="1"/>
      </w:numPr>
    </w:pPr>
  </w:style>
  <w:style w:type="numbering" w:customStyle="1" w:styleId="ListAlpha">
    <w:name w:val="List_Alpha"/>
    <w:uiPriority w:val="99"/>
    <w:rsid w:val="00D00F4A"/>
    <w:pPr>
      <w:numPr>
        <w:numId w:val="1"/>
      </w:numPr>
    </w:pPr>
  </w:style>
  <w:style w:type="paragraph" w:styleId="TableofAuthorities">
    <w:name w:val="table of authorities"/>
    <w:basedOn w:val="Normal"/>
    <w:next w:val="Normal"/>
    <w:uiPriority w:val="99"/>
    <w:semiHidden/>
    <w:rsid w:val="00D00F4A"/>
    <w:pPr>
      <w:ind w:left="200" w:hanging="200"/>
    </w:pPr>
  </w:style>
  <w:style w:type="paragraph" w:styleId="TableofFigures">
    <w:name w:val="table of figures"/>
    <w:basedOn w:val="TOC3"/>
    <w:next w:val="Normal"/>
    <w:uiPriority w:val="99"/>
    <w:rsid w:val="00D00F4A"/>
    <w:pPr>
      <w:tabs>
        <w:tab w:val="left" w:pos="1134"/>
        <w:tab w:val="right" w:leader="dot" w:pos="9639"/>
      </w:tabs>
      <w:ind w:left="1134" w:hanging="1134"/>
    </w:pPr>
    <w:rPr>
      <w:sz w:val="24"/>
    </w:rPr>
  </w:style>
  <w:style w:type="table" w:customStyle="1" w:styleId="OrangeTable1Secondary">
    <w:name w:val="Orange Table 1 (Secondary)"/>
    <w:basedOn w:val="TableNormal"/>
    <w:uiPriority w:val="99"/>
    <w:rsid w:val="00D00F4A"/>
    <w:pPr>
      <w:spacing w:before="0" w:after="0"/>
    </w:pPr>
    <w:tblPr>
      <w:tblStyleRowBandSize w:val="1"/>
      <w:tblStyleColBandSize w:val="1"/>
      <w:tblBorders>
        <w:top w:val="single" w:sz="4" w:space="0" w:color="192328" w:themeColor="accent1" w:themeShade="80"/>
        <w:left w:val="single" w:sz="4" w:space="0" w:color="192328" w:themeColor="accent1" w:themeShade="80"/>
        <w:bottom w:val="single" w:sz="4" w:space="0" w:color="192328" w:themeColor="accent1" w:themeShade="80"/>
        <w:right w:val="single" w:sz="4" w:space="0" w:color="192328" w:themeColor="accent1" w:themeShade="80"/>
        <w:insideH w:val="single" w:sz="4" w:space="0" w:color="192328" w:themeColor="accent1" w:themeShade="80"/>
        <w:insideV w:val="single" w:sz="4" w:space="0" w:color="192328" w:themeColor="accent1" w:themeShade="80"/>
      </w:tblBorders>
      <w:tblCellMar>
        <w:left w:w="0" w:type="dxa"/>
        <w:right w:w="0" w:type="dxa"/>
      </w:tblCellMar>
    </w:tblPr>
    <w:trPr>
      <w:cantSplit/>
    </w:trPr>
    <w:tcPr>
      <w:shd w:val="clear" w:color="auto" w:fill="auto"/>
    </w:tcPr>
    <w:tblStylePr w:type="firstRow">
      <w:rPr>
        <w:color w:val="auto"/>
      </w:rPr>
      <w:tblPr/>
      <w:trPr>
        <w:tblHeader/>
      </w:trPr>
      <w:tcPr>
        <w:tcBorders>
          <w:top w:val="single" w:sz="4" w:space="0" w:color="192328" w:themeColor="accent1" w:themeShade="80"/>
          <w:left w:val="single" w:sz="4" w:space="0" w:color="192328" w:themeColor="accent1" w:themeShade="80"/>
          <w:bottom w:val="single" w:sz="4" w:space="0" w:color="192328" w:themeColor="accent1" w:themeShade="80"/>
          <w:right w:val="single" w:sz="4" w:space="0" w:color="192328" w:themeColor="accent1" w:themeShade="80"/>
          <w:insideH w:val="single" w:sz="4" w:space="0" w:color="192328" w:themeColor="accent1" w:themeShade="80"/>
          <w:insideV w:val="single" w:sz="4" w:space="0" w:color="192328" w:themeColor="accent1" w:themeShade="80"/>
        </w:tcBorders>
        <w:shd w:val="clear" w:color="auto" w:fill="324851" w:themeFill="accent1"/>
      </w:tcPr>
    </w:tblStylePr>
    <w:tblStylePr w:type="lastRow">
      <w:rPr>
        <w:b/>
      </w:rPr>
      <w:tblPr/>
      <w:tcPr>
        <w:shd w:val="clear" w:color="auto" w:fill="C4D4DA" w:themeFill="accent1" w:themeFillTint="40"/>
      </w:tcPr>
    </w:tblStylePr>
    <w:tblStylePr w:type="firstCol">
      <w:rPr>
        <w:color w:val="auto"/>
      </w:rPr>
      <w:tblPr/>
      <w:tcPr>
        <w:tcBorders>
          <w:insideH w:val="nil"/>
        </w:tcBorders>
        <w:shd w:val="clear" w:color="auto" w:fill="324851" w:themeFill="accent1"/>
      </w:tcPr>
    </w:tblStylePr>
    <w:tblStylePr w:type="lastCol">
      <w:tblPr/>
      <w:tcPr>
        <w:shd w:val="clear" w:color="auto" w:fill="A1BAC5" w:themeFill="accent1" w:themeFillTint="66"/>
      </w:tcPr>
    </w:tblStylePr>
    <w:tblStylePr w:type="band2Vert">
      <w:tblPr/>
      <w:tcPr>
        <w:shd w:val="clear" w:color="auto" w:fill="E7EDF0" w:themeFill="accent1" w:themeFillTint="1A"/>
      </w:tcPr>
    </w:tblStylePr>
    <w:tblStylePr w:type="band2Horz">
      <w:tblPr/>
      <w:tcPr>
        <w:shd w:val="clear" w:color="auto" w:fill="E7EDF0" w:themeFill="accent1" w:themeFillTint="1A"/>
      </w:tcPr>
    </w:tblStylePr>
  </w:style>
  <w:style w:type="table" w:customStyle="1" w:styleId="GreyTable2">
    <w:name w:val="Grey Table 2"/>
    <w:basedOn w:val="OrangeTable2Secondary"/>
    <w:uiPriority w:val="99"/>
    <w:rsid w:val="00D00F4A"/>
    <w:tblPr>
      <w:tblBorders>
        <w:top w:val="single" w:sz="4" w:space="0" w:color="D5D6D8" w:themeColor="accent6"/>
        <w:bottom w:val="single" w:sz="4" w:space="0" w:color="D5D6D8" w:themeColor="accent6"/>
        <w:insideH w:val="single" w:sz="4" w:space="0" w:color="D5D6D8" w:themeColor="accent6"/>
      </w:tblBorders>
    </w:tblPr>
    <w:tcPr>
      <w:shd w:val="clear" w:color="auto" w:fill="auto"/>
    </w:tcPr>
    <w:tblStylePr w:type="firstRow">
      <w:rPr>
        <w:color w:val="FFFFFF" w:themeColor="background1"/>
      </w:rPr>
      <w:tblPr/>
      <w:trPr>
        <w:tblHeader/>
      </w:trPr>
      <w:tcPr>
        <w:tcBorders>
          <w:top w:val="nil"/>
          <w:left w:val="nil"/>
          <w:bottom w:val="single" w:sz="4" w:space="0" w:color="FFFFFF" w:themeColor="background1"/>
          <w:right w:val="nil"/>
          <w:insideH w:val="single" w:sz="4" w:space="0" w:color="FFFFFF" w:themeColor="background1"/>
          <w:insideV w:val="nil"/>
          <w:tl2br w:val="nil"/>
          <w:tr2bl w:val="nil"/>
        </w:tcBorders>
        <w:shd w:val="clear" w:color="auto" w:fill="414042" w:themeFill="accent2"/>
      </w:tcPr>
    </w:tblStylePr>
    <w:tblStylePr w:type="lastRow">
      <w:rPr>
        <w:b/>
      </w:rPr>
      <w:tblPr/>
      <w:tcPr>
        <w:shd w:val="clear" w:color="auto" w:fill="D8D8D9" w:themeFill="accent2" w:themeFillTint="33"/>
      </w:tcPr>
    </w:tblStylePr>
    <w:tblStylePr w:type="firstCol">
      <w:rPr>
        <w:color w:val="FFFFFF" w:themeColor="background1"/>
      </w:rPr>
      <w:tblPr/>
      <w:tcPr>
        <w:tcBorders>
          <w:insideH w:val="nil"/>
        </w:tcBorders>
        <w:shd w:val="clear" w:color="auto" w:fill="414042" w:themeFill="accent2"/>
      </w:tcPr>
    </w:tblStylePr>
    <w:tblStylePr w:type="lastCol">
      <w:tblPr/>
      <w:tcPr>
        <w:shd w:val="clear" w:color="auto" w:fill="F2F2F2" w:themeFill="background1" w:themeFillShade="F2"/>
      </w:tcPr>
    </w:tblStylePr>
    <w:tblStylePr w:type="band2Vert">
      <w:tblPr/>
      <w:tcPr>
        <w:shd w:val="clear" w:color="auto" w:fill="F2F2F2" w:themeFill="background1" w:themeFillShade="F2"/>
      </w:tcPr>
    </w:tblStylePr>
    <w:tblStylePr w:type="band2Horz">
      <w:tblPr/>
      <w:tcPr>
        <w:shd w:val="clear" w:color="auto" w:fill="F2F2F2" w:themeFill="background1" w:themeFillShade="F2"/>
      </w:tcPr>
    </w:tblStylePr>
  </w:style>
  <w:style w:type="character" w:styleId="FollowedHyperlink">
    <w:name w:val="FollowedHyperlink"/>
    <w:basedOn w:val="DefaultParagraphFont"/>
    <w:uiPriority w:val="99"/>
    <w:rsid w:val="00D00F4A"/>
    <w:rPr>
      <w:color w:val="324851" w:themeColor="accent1"/>
      <w:u w:val="single"/>
    </w:rPr>
  </w:style>
  <w:style w:type="paragraph" w:customStyle="1" w:styleId="AppendixTitle">
    <w:name w:val="Appendix Title"/>
    <w:basedOn w:val="Heading1"/>
    <w:next w:val="BodyText"/>
    <w:uiPriority w:val="13"/>
    <w:qFormat/>
    <w:rsid w:val="00330BBD"/>
    <w:pPr>
      <w:numPr>
        <w:numId w:val="2"/>
      </w:numPr>
      <w:spacing w:before="4000"/>
    </w:pPr>
    <w:rPr>
      <w:rFonts w:cs="Times New Roman"/>
      <w:sz w:val="40"/>
      <w:szCs w:val="24"/>
    </w:rPr>
  </w:style>
  <w:style w:type="paragraph" w:customStyle="1" w:styleId="AppendixHeading1">
    <w:name w:val="Appendix Heading 1"/>
    <w:basedOn w:val="Heading2"/>
    <w:next w:val="BodyText"/>
    <w:uiPriority w:val="14"/>
    <w:qFormat/>
    <w:rsid w:val="00D00F4A"/>
    <w:pPr>
      <w:tabs>
        <w:tab w:val="left" w:pos="851"/>
      </w:tabs>
    </w:pPr>
    <w:rPr>
      <w:iCs w:val="0"/>
    </w:rPr>
  </w:style>
  <w:style w:type="paragraph" w:customStyle="1" w:styleId="AppendixHeading2">
    <w:name w:val="Appendix Heading 2"/>
    <w:basedOn w:val="Heading3"/>
    <w:next w:val="BodyText"/>
    <w:uiPriority w:val="14"/>
    <w:qFormat/>
    <w:rsid w:val="00D00F4A"/>
    <w:pPr>
      <w:tabs>
        <w:tab w:val="left" w:pos="851"/>
      </w:tabs>
    </w:pPr>
  </w:style>
  <w:style w:type="paragraph" w:customStyle="1" w:styleId="ListAlpha2">
    <w:name w:val="List Alpha 2"/>
    <w:basedOn w:val="ListAlpha0"/>
    <w:uiPriority w:val="19"/>
    <w:rsid w:val="00D00F4A"/>
    <w:pPr>
      <w:numPr>
        <w:ilvl w:val="1"/>
      </w:numPr>
    </w:pPr>
  </w:style>
  <w:style w:type="paragraph" w:customStyle="1" w:styleId="ListAlpha3">
    <w:name w:val="List Alpha 3"/>
    <w:basedOn w:val="ListAlpha2"/>
    <w:uiPriority w:val="19"/>
    <w:rsid w:val="00D00F4A"/>
    <w:pPr>
      <w:numPr>
        <w:ilvl w:val="2"/>
      </w:numPr>
    </w:pPr>
  </w:style>
  <w:style w:type="paragraph" w:customStyle="1" w:styleId="ListAlpha4">
    <w:name w:val="List Alpha 4"/>
    <w:basedOn w:val="ListAlpha3"/>
    <w:uiPriority w:val="19"/>
    <w:rsid w:val="00D00F4A"/>
    <w:pPr>
      <w:numPr>
        <w:ilvl w:val="3"/>
      </w:numPr>
    </w:pPr>
  </w:style>
  <w:style w:type="paragraph" w:customStyle="1" w:styleId="ListAlpha6">
    <w:name w:val="List Alpha 6"/>
    <w:basedOn w:val="ListAlpha4"/>
    <w:uiPriority w:val="19"/>
    <w:rsid w:val="00D00F4A"/>
    <w:pPr>
      <w:numPr>
        <w:ilvl w:val="5"/>
      </w:numPr>
    </w:pPr>
  </w:style>
  <w:style w:type="paragraph" w:customStyle="1" w:styleId="ListAlpha5">
    <w:name w:val="List Alpha 5"/>
    <w:basedOn w:val="ListAlpha6"/>
    <w:uiPriority w:val="19"/>
    <w:rsid w:val="00D00F4A"/>
    <w:pPr>
      <w:numPr>
        <w:ilvl w:val="4"/>
      </w:numPr>
    </w:pPr>
  </w:style>
  <w:style w:type="paragraph" w:styleId="ListBullet2">
    <w:name w:val="List Bullet 2"/>
    <w:basedOn w:val="ListBullet0"/>
    <w:uiPriority w:val="19"/>
    <w:rsid w:val="00D00F4A"/>
    <w:pPr>
      <w:numPr>
        <w:ilvl w:val="1"/>
      </w:numPr>
    </w:pPr>
  </w:style>
  <w:style w:type="paragraph" w:styleId="ListBullet3">
    <w:name w:val="List Bullet 3"/>
    <w:basedOn w:val="ListBullet0"/>
    <w:uiPriority w:val="19"/>
    <w:rsid w:val="00D00F4A"/>
    <w:pPr>
      <w:numPr>
        <w:ilvl w:val="2"/>
      </w:numPr>
    </w:pPr>
  </w:style>
  <w:style w:type="paragraph" w:styleId="ListBullet4">
    <w:name w:val="List Bullet 4"/>
    <w:basedOn w:val="ListBullet0"/>
    <w:uiPriority w:val="19"/>
    <w:rsid w:val="00D00F4A"/>
    <w:pPr>
      <w:numPr>
        <w:ilvl w:val="3"/>
      </w:numPr>
    </w:pPr>
  </w:style>
  <w:style w:type="paragraph" w:styleId="ListBullet5">
    <w:name w:val="List Bullet 5"/>
    <w:basedOn w:val="ListBullet0"/>
    <w:uiPriority w:val="19"/>
    <w:rsid w:val="00D00F4A"/>
    <w:pPr>
      <w:numPr>
        <w:ilvl w:val="4"/>
      </w:numPr>
    </w:pPr>
  </w:style>
  <w:style w:type="paragraph" w:customStyle="1" w:styleId="ListBullet6">
    <w:name w:val="List Bullet 6"/>
    <w:basedOn w:val="ListBullet0"/>
    <w:uiPriority w:val="19"/>
    <w:rsid w:val="00D00F4A"/>
    <w:pPr>
      <w:numPr>
        <w:ilvl w:val="5"/>
      </w:numPr>
    </w:pPr>
  </w:style>
  <w:style w:type="paragraph" w:styleId="ListNumber2">
    <w:name w:val="List Number 2"/>
    <w:basedOn w:val="ListNumber0"/>
    <w:uiPriority w:val="19"/>
    <w:rsid w:val="00D00F4A"/>
    <w:pPr>
      <w:numPr>
        <w:ilvl w:val="1"/>
      </w:numPr>
    </w:pPr>
  </w:style>
  <w:style w:type="paragraph" w:styleId="ListNumber3">
    <w:name w:val="List Number 3"/>
    <w:basedOn w:val="ListNumber0"/>
    <w:uiPriority w:val="19"/>
    <w:rsid w:val="00D00F4A"/>
    <w:pPr>
      <w:numPr>
        <w:ilvl w:val="2"/>
      </w:numPr>
    </w:pPr>
  </w:style>
  <w:style w:type="paragraph" w:styleId="ListNumber4">
    <w:name w:val="List Number 4"/>
    <w:basedOn w:val="ListNumber0"/>
    <w:uiPriority w:val="19"/>
    <w:rsid w:val="00D00F4A"/>
    <w:pPr>
      <w:numPr>
        <w:ilvl w:val="3"/>
      </w:numPr>
    </w:pPr>
  </w:style>
  <w:style w:type="paragraph" w:styleId="ListNumber5">
    <w:name w:val="List Number 5"/>
    <w:basedOn w:val="ListNumber0"/>
    <w:uiPriority w:val="19"/>
    <w:rsid w:val="00D00F4A"/>
    <w:pPr>
      <w:numPr>
        <w:ilvl w:val="4"/>
      </w:numPr>
    </w:pPr>
  </w:style>
  <w:style w:type="paragraph" w:customStyle="1" w:styleId="ListNumber6">
    <w:name w:val="List Number 6"/>
    <w:basedOn w:val="ListNumber0"/>
    <w:uiPriority w:val="19"/>
    <w:rsid w:val="00D00F4A"/>
    <w:pPr>
      <w:numPr>
        <w:ilvl w:val="5"/>
      </w:numPr>
    </w:pPr>
  </w:style>
  <w:style w:type="paragraph" w:customStyle="1" w:styleId="ListParagraph2">
    <w:name w:val="List Paragraph 2"/>
    <w:basedOn w:val="ListParagraph0"/>
    <w:uiPriority w:val="19"/>
    <w:qFormat/>
    <w:rsid w:val="00D00F4A"/>
    <w:pPr>
      <w:numPr>
        <w:ilvl w:val="1"/>
      </w:numPr>
    </w:pPr>
  </w:style>
  <w:style w:type="paragraph" w:customStyle="1" w:styleId="ListParagraph3">
    <w:name w:val="List Paragraph 3"/>
    <w:basedOn w:val="ListParagraph0"/>
    <w:uiPriority w:val="19"/>
    <w:rsid w:val="00D00F4A"/>
    <w:pPr>
      <w:numPr>
        <w:ilvl w:val="2"/>
      </w:numPr>
    </w:pPr>
  </w:style>
  <w:style w:type="paragraph" w:customStyle="1" w:styleId="ListParagraph4">
    <w:name w:val="List Paragraph 4"/>
    <w:basedOn w:val="ListParagraph0"/>
    <w:uiPriority w:val="19"/>
    <w:rsid w:val="00D00F4A"/>
    <w:pPr>
      <w:numPr>
        <w:ilvl w:val="3"/>
      </w:numPr>
    </w:pPr>
  </w:style>
  <w:style w:type="paragraph" w:customStyle="1" w:styleId="ListParagraph5">
    <w:name w:val="List Paragraph 5"/>
    <w:basedOn w:val="ListParagraph0"/>
    <w:uiPriority w:val="19"/>
    <w:rsid w:val="00D00F4A"/>
    <w:pPr>
      <w:numPr>
        <w:ilvl w:val="4"/>
      </w:numPr>
    </w:pPr>
  </w:style>
  <w:style w:type="paragraph" w:customStyle="1" w:styleId="ListParagraph6">
    <w:name w:val="List Paragraph 6"/>
    <w:basedOn w:val="ListParagraph0"/>
    <w:uiPriority w:val="19"/>
    <w:rsid w:val="00D00F4A"/>
    <w:pPr>
      <w:numPr>
        <w:ilvl w:val="5"/>
      </w:numPr>
    </w:pPr>
  </w:style>
  <w:style w:type="numbering" w:customStyle="1" w:styleId="ListBullet">
    <w:name w:val="List_Bullet"/>
    <w:uiPriority w:val="99"/>
    <w:rsid w:val="00D00F4A"/>
    <w:pPr>
      <w:numPr>
        <w:numId w:val="3"/>
      </w:numPr>
    </w:pPr>
  </w:style>
  <w:style w:type="numbering" w:customStyle="1" w:styleId="ListNumberedHeadings">
    <w:name w:val="List_NumberedHeadings"/>
    <w:uiPriority w:val="99"/>
    <w:rsid w:val="00D00F4A"/>
    <w:pPr>
      <w:numPr>
        <w:numId w:val="6"/>
      </w:numPr>
    </w:pPr>
  </w:style>
  <w:style w:type="numbering" w:customStyle="1" w:styleId="ListTableBullet">
    <w:name w:val="List_TableBullet"/>
    <w:uiPriority w:val="99"/>
    <w:rsid w:val="00D00F4A"/>
    <w:pPr>
      <w:numPr>
        <w:numId w:val="8"/>
      </w:numPr>
    </w:pPr>
  </w:style>
  <w:style w:type="numbering" w:customStyle="1" w:styleId="ListTableNumber">
    <w:name w:val="List_TableNumber"/>
    <w:uiPriority w:val="99"/>
    <w:rsid w:val="00D00F4A"/>
    <w:pPr>
      <w:numPr>
        <w:numId w:val="9"/>
      </w:numPr>
    </w:pPr>
  </w:style>
  <w:style w:type="paragraph" w:customStyle="1" w:styleId="TableBullet2">
    <w:name w:val="Table Bullet 2"/>
    <w:basedOn w:val="TableBullet"/>
    <w:uiPriority w:val="19"/>
    <w:rsid w:val="00D00F4A"/>
    <w:pPr>
      <w:numPr>
        <w:ilvl w:val="1"/>
      </w:numPr>
    </w:pPr>
  </w:style>
  <w:style w:type="paragraph" w:customStyle="1" w:styleId="TableNumber2">
    <w:name w:val="Table Number 2"/>
    <w:basedOn w:val="TableNumber"/>
    <w:uiPriority w:val="19"/>
    <w:rsid w:val="00D00F4A"/>
    <w:pPr>
      <w:numPr>
        <w:ilvl w:val="1"/>
      </w:numPr>
    </w:pPr>
  </w:style>
  <w:style w:type="paragraph" w:customStyle="1" w:styleId="BodyText4">
    <w:name w:val="Body Text 4"/>
    <w:basedOn w:val="BodyText3"/>
    <w:uiPriority w:val="99"/>
    <w:semiHidden/>
    <w:qFormat/>
    <w:rsid w:val="00D00F4A"/>
    <w:pPr>
      <w:numPr>
        <w:ilvl w:val="3"/>
      </w:numPr>
    </w:pPr>
  </w:style>
  <w:style w:type="paragraph" w:customStyle="1" w:styleId="BodyText5">
    <w:name w:val="Body Text 5"/>
    <w:basedOn w:val="BodyText4"/>
    <w:uiPriority w:val="99"/>
    <w:semiHidden/>
    <w:qFormat/>
    <w:rsid w:val="00D00F4A"/>
    <w:pPr>
      <w:numPr>
        <w:ilvl w:val="4"/>
      </w:numPr>
    </w:pPr>
  </w:style>
  <w:style w:type="paragraph" w:customStyle="1" w:styleId="BodyText6">
    <w:name w:val="Body Text 6"/>
    <w:basedOn w:val="BodyText5"/>
    <w:uiPriority w:val="99"/>
    <w:semiHidden/>
    <w:qFormat/>
    <w:rsid w:val="00D00F4A"/>
    <w:pPr>
      <w:numPr>
        <w:ilvl w:val="5"/>
      </w:numPr>
    </w:pPr>
  </w:style>
  <w:style w:type="paragraph" w:customStyle="1" w:styleId="SectionTitle">
    <w:name w:val="Section Title"/>
    <w:uiPriority w:val="13"/>
    <w:qFormat/>
    <w:rsid w:val="002E6048"/>
    <w:pPr>
      <w:pageBreakBefore/>
      <w:spacing w:before="4000" w:after="360"/>
    </w:pPr>
    <w:rPr>
      <w:rFonts w:ascii="Gotham" w:eastAsia="Times New Roman" w:hAnsi="Gotham" w:cs="Arial"/>
      <w:bCs/>
      <w:caps/>
      <w:color w:val="324851"/>
      <w:sz w:val="56"/>
      <w:szCs w:val="32"/>
      <w:lang w:eastAsia="en-AU"/>
    </w:rPr>
  </w:style>
  <w:style w:type="character" w:styleId="PlaceholderText">
    <w:name w:val="Placeholder Text"/>
    <w:basedOn w:val="DefaultParagraphFont"/>
    <w:uiPriority w:val="99"/>
    <w:semiHidden/>
    <w:rsid w:val="00D00F4A"/>
    <w:rPr>
      <w:color w:val="808080"/>
    </w:rPr>
  </w:style>
  <w:style w:type="table" w:customStyle="1" w:styleId="TableNoBorders">
    <w:name w:val="Table No Borders"/>
    <w:basedOn w:val="TableNormal"/>
    <w:uiPriority w:val="99"/>
    <w:rsid w:val="00D00F4A"/>
    <w:pPr>
      <w:spacing w:before="0" w:after="0"/>
    </w:pPr>
    <w:tblPr/>
  </w:style>
  <w:style w:type="paragraph" w:customStyle="1" w:styleId="CoverDetails">
    <w:name w:val="Cover Details"/>
    <w:basedOn w:val="Subtitle"/>
    <w:uiPriority w:val="11"/>
    <w:rsid w:val="00D00F4A"/>
    <w:pPr>
      <w:spacing w:after="240"/>
    </w:pPr>
    <w:rPr>
      <w:caps w:val="0"/>
      <w:color w:val="324851" w:themeColor="accent1"/>
      <w:sz w:val="32"/>
    </w:rPr>
  </w:style>
  <w:style w:type="numbering" w:customStyle="1" w:styleId="ListAppendix">
    <w:name w:val="List_Appendix"/>
    <w:uiPriority w:val="99"/>
    <w:rsid w:val="00D00F4A"/>
    <w:pPr>
      <w:numPr>
        <w:numId w:val="2"/>
      </w:numPr>
    </w:pPr>
  </w:style>
  <w:style w:type="paragraph" w:styleId="FootnoteText">
    <w:name w:val="footnote text"/>
    <w:basedOn w:val="Normal"/>
    <w:link w:val="FootnoteTextChar"/>
    <w:uiPriority w:val="99"/>
    <w:rsid w:val="00D00F4A"/>
    <w:rPr>
      <w:sz w:val="18"/>
      <w:szCs w:val="20"/>
    </w:rPr>
  </w:style>
  <w:style w:type="character" w:customStyle="1" w:styleId="FootnoteTextChar">
    <w:name w:val="Footnote Text Char"/>
    <w:basedOn w:val="DefaultParagraphFont"/>
    <w:link w:val="FootnoteText"/>
    <w:uiPriority w:val="99"/>
    <w:rsid w:val="00D00F4A"/>
    <w:rPr>
      <w:sz w:val="18"/>
      <w:szCs w:val="20"/>
    </w:rPr>
  </w:style>
  <w:style w:type="character" w:styleId="FootnoteReference">
    <w:name w:val="footnote reference"/>
    <w:basedOn w:val="DefaultParagraphFont"/>
    <w:uiPriority w:val="99"/>
    <w:rsid w:val="00D00F4A"/>
    <w:rPr>
      <w:color w:val="auto"/>
      <w:vertAlign w:val="superscript"/>
    </w:rPr>
  </w:style>
  <w:style w:type="paragraph" w:customStyle="1" w:styleId="BodyTextLeft">
    <w:name w:val="Body Text Left"/>
    <w:basedOn w:val="BodyText"/>
    <w:qFormat/>
    <w:rsid w:val="0092253E"/>
  </w:style>
  <w:style w:type="paragraph" w:customStyle="1" w:styleId="ChapterHeading">
    <w:name w:val="Chapter Heading"/>
    <w:basedOn w:val="Normal"/>
    <w:next w:val="Normal"/>
    <w:uiPriority w:val="11"/>
    <w:qFormat/>
    <w:rsid w:val="002E6048"/>
    <w:pPr>
      <w:pageBreakBefore/>
      <w:numPr>
        <w:numId w:val="22"/>
      </w:numPr>
      <w:spacing w:before="6400" w:after="240" w:line="300" w:lineRule="auto"/>
    </w:pPr>
    <w:rPr>
      <w:rFonts w:ascii="Gotham" w:eastAsia="Times New Roman" w:hAnsi="Gotham" w:cs="Arial"/>
      <w:bCs/>
      <w:caps/>
      <w:color w:val="324851"/>
      <w:sz w:val="32"/>
      <w:szCs w:val="32"/>
      <w:lang w:eastAsia="en-AU"/>
    </w:rPr>
  </w:style>
  <w:style w:type="numbering" w:customStyle="1" w:styleId="ListChapter">
    <w:name w:val="List_Chapter"/>
    <w:uiPriority w:val="99"/>
    <w:rsid w:val="00157388"/>
    <w:pPr>
      <w:numPr>
        <w:numId w:val="4"/>
      </w:numPr>
    </w:pPr>
  </w:style>
  <w:style w:type="paragraph" w:customStyle="1" w:styleId="Chaptertext">
    <w:name w:val="Chapter text"/>
    <w:basedOn w:val="BodyText"/>
    <w:uiPriority w:val="11"/>
    <w:qFormat/>
    <w:rsid w:val="00C828D7"/>
    <w:rPr>
      <w:color w:val="414042" w:themeColor="accent2"/>
    </w:rPr>
  </w:style>
  <w:style w:type="character" w:customStyle="1" w:styleId="ChapterSubheading">
    <w:name w:val="Chapter Subheading"/>
    <w:basedOn w:val="DefaultParagraphFont"/>
    <w:uiPriority w:val="11"/>
    <w:qFormat/>
    <w:rsid w:val="002E6048"/>
    <w:rPr>
      <w:rFonts w:ascii="Gotham" w:hAnsi="Gotham"/>
      <w:caps/>
      <w:smallCaps w:val="0"/>
      <w:color w:val="122872"/>
      <w:sz w:val="36"/>
    </w:rPr>
  </w:style>
  <w:style w:type="paragraph" w:customStyle="1" w:styleId="FooterTextCentre">
    <w:name w:val="Footer Text Centre"/>
    <w:basedOn w:val="Normal"/>
    <w:uiPriority w:val="99"/>
    <w:qFormat/>
    <w:rsid w:val="00AF22A1"/>
    <w:pPr>
      <w:jc w:val="center"/>
    </w:pPr>
  </w:style>
  <w:style w:type="character" w:styleId="PageNumber">
    <w:name w:val="page number"/>
    <w:basedOn w:val="DefaultParagraphFont"/>
    <w:uiPriority w:val="99"/>
    <w:semiHidden/>
    <w:unhideWhenUsed/>
    <w:rsid w:val="00406522"/>
  </w:style>
  <w:style w:type="table" w:styleId="LightShading-Accent2">
    <w:name w:val="Light Shading Accent 2"/>
    <w:basedOn w:val="TableNormal"/>
    <w:uiPriority w:val="60"/>
    <w:rsid w:val="00406522"/>
    <w:pPr>
      <w:spacing w:before="0" w:after="0"/>
    </w:pPr>
    <w:rPr>
      <w:rFonts w:eastAsiaTheme="minorEastAsia"/>
      <w:color w:val="303031" w:themeColor="accent2" w:themeShade="BF"/>
      <w:sz w:val="24"/>
      <w:szCs w:val="24"/>
      <w:lang w:val="en-US"/>
    </w:rPr>
    <w:tblPr>
      <w:tblStyleRowBandSize w:val="1"/>
      <w:tblStyleColBandSize w:val="1"/>
      <w:tblBorders>
        <w:top w:val="single" w:sz="8" w:space="0" w:color="414042" w:themeColor="accent2"/>
        <w:bottom w:val="single" w:sz="8" w:space="0" w:color="414042" w:themeColor="accent2"/>
      </w:tblBorders>
    </w:tblPr>
    <w:tblStylePr w:type="firstRow">
      <w:pPr>
        <w:spacing w:before="0" w:after="0" w:line="240" w:lineRule="auto"/>
      </w:pPr>
      <w:rPr>
        <w:b/>
        <w:bCs/>
      </w:rPr>
      <w:tblPr/>
      <w:tcPr>
        <w:tcBorders>
          <w:top w:val="single" w:sz="8" w:space="0" w:color="414042" w:themeColor="accent2"/>
          <w:left w:val="nil"/>
          <w:bottom w:val="single" w:sz="8" w:space="0" w:color="414042" w:themeColor="accent2"/>
          <w:right w:val="nil"/>
          <w:insideH w:val="nil"/>
          <w:insideV w:val="nil"/>
        </w:tcBorders>
      </w:tcPr>
    </w:tblStylePr>
    <w:tblStylePr w:type="lastRow">
      <w:pPr>
        <w:spacing w:before="0" w:after="0" w:line="240" w:lineRule="auto"/>
      </w:pPr>
      <w:rPr>
        <w:b/>
        <w:bCs/>
      </w:rPr>
      <w:tblPr/>
      <w:tcPr>
        <w:tcBorders>
          <w:top w:val="single" w:sz="8" w:space="0" w:color="414042" w:themeColor="accent2"/>
          <w:left w:val="nil"/>
          <w:bottom w:val="single" w:sz="8" w:space="0" w:color="41404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CFD0" w:themeFill="accent2" w:themeFillTint="3F"/>
      </w:tcPr>
    </w:tblStylePr>
    <w:tblStylePr w:type="band1Horz">
      <w:tblPr/>
      <w:tcPr>
        <w:tcBorders>
          <w:left w:val="nil"/>
          <w:right w:val="nil"/>
          <w:insideH w:val="nil"/>
          <w:insideV w:val="nil"/>
        </w:tcBorders>
        <w:shd w:val="clear" w:color="auto" w:fill="CFCFD0" w:themeFill="accent2" w:themeFillTint="3F"/>
      </w:tcPr>
    </w:tblStylePr>
  </w:style>
  <w:style w:type="table" w:styleId="LightList-Accent6">
    <w:name w:val="Light List Accent 6"/>
    <w:basedOn w:val="TableNormal"/>
    <w:uiPriority w:val="61"/>
    <w:rsid w:val="00406522"/>
    <w:pPr>
      <w:spacing w:before="0" w:after="0"/>
    </w:pPr>
    <w:rPr>
      <w:rFonts w:eastAsiaTheme="minorEastAsia"/>
      <w:sz w:val="24"/>
      <w:szCs w:val="24"/>
      <w:lang w:val="en-US"/>
    </w:rPr>
    <w:tblPr>
      <w:tblStyleRowBandSize w:val="1"/>
      <w:tblStyleColBandSize w:val="1"/>
      <w:tblBorders>
        <w:top w:val="single" w:sz="8" w:space="0" w:color="D5D6D8" w:themeColor="accent6"/>
        <w:left w:val="single" w:sz="8" w:space="0" w:color="D5D6D8" w:themeColor="accent6"/>
        <w:bottom w:val="single" w:sz="8" w:space="0" w:color="D5D6D8" w:themeColor="accent6"/>
        <w:right w:val="single" w:sz="8" w:space="0" w:color="D5D6D8" w:themeColor="accent6"/>
      </w:tblBorders>
    </w:tblPr>
    <w:tblStylePr w:type="firstRow">
      <w:pPr>
        <w:spacing w:before="0" w:after="0" w:line="240" w:lineRule="auto"/>
      </w:pPr>
      <w:rPr>
        <w:b/>
        <w:bCs/>
        <w:color w:val="FFFFFF" w:themeColor="background1"/>
      </w:rPr>
      <w:tblPr/>
      <w:tcPr>
        <w:shd w:val="clear" w:color="auto" w:fill="D5D6D8" w:themeFill="accent6"/>
      </w:tcPr>
    </w:tblStylePr>
    <w:tblStylePr w:type="lastRow">
      <w:pPr>
        <w:spacing w:before="0" w:after="0" w:line="240" w:lineRule="auto"/>
      </w:pPr>
      <w:rPr>
        <w:b/>
        <w:bCs/>
      </w:rPr>
      <w:tblPr/>
      <w:tcPr>
        <w:tcBorders>
          <w:top w:val="double" w:sz="6" w:space="0" w:color="D5D6D8" w:themeColor="accent6"/>
          <w:left w:val="single" w:sz="8" w:space="0" w:color="D5D6D8" w:themeColor="accent6"/>
          <w:bottom w:val="single" w:sz="8" w:space="0" w:color="D5D6D8" w:themeColor="accent6"/>
          <w:right w:val="single" w:sz="8" w:space="0" w:color="D5D6D8" w:themeColor="accent6"/>
        </w:tcBorders>
      </w:tcPr>
    </w:tblStylePr>
    <w:tblStylePr w:type="firstCol">
      <w:rPr>
        <w:b/>
        <w:bCs/>
      </w:rPr>
    </w:tblStylePr>
    <w:tblStylePr w:type="lastCol">
      <w:rPr>
        <w:b/>
        <w:bCs/>
      </w:rPr>
    </w:tblStylePr>
    <w:tblStylePr w:type="band1Vert">
      <w:tblPr/>
      <w:tcPr>
        <w:tcBorders>
          <w:top w:val="single" w:sz="8" w:space="0" w:color="D5D6D8" w:themeColor="accent6"/>
          <w:left w:val="single" w:sz="8" w:space="0" w:color="D5D6D8" w:themeColor="accent6"/>
          <w:bottom w:val="single" w:sz="8" w:space="0" w:color="D5D6D8" w:themeColor="accent6"/>
          <w:right w:val="single" w:sz="8" w:space="0" w:color="D5D6D8" w:themeColor="accent6"/>
        </w:tcBorders>
      </w:tcPr>
    </w:tblStylePr>
    <w:tblStylePr w:type="band1Horz">
      <w:tblPr/>
      <w:tcPr>
        <w:tcBorders>
          <w:top w:val="single" w:sz="8" w:space="0" w:color="D5D6D8" w:themeColor="accent6"/>
          <w:left w:val="single" w:sz="8" w:space="0" w:color="D5D6D8" w:themeColor="accent6"/>
          <w:bottom w:val="single" w:sz="8" w:space="0" w:color="D5D6D8" w:themeColor="accent6"/>
          <w:right w:val="single" w:sz="8" w:space="0" w:color="D5D6D8" w:themeColor="accent6"/>
        </w:tcBorders>
      </w:tcPr>
    </w:tblStylePr>
  </w:style>
  <w:style w:type="table" w:styleId="LightGrid-Accent6">
    <w:name w:val="Light Grid Accent 6"/>
    <w:basedOn w:val="TableNormal"/>
    <w:uiPriority w:val="62"/>
    <w:rsid w:val="00406522"/>
    <w:pPr>
      <w:spacing w:before="0" w:after="0"/>
    </w:pPr>
    <w:rPr>
      <w:rFonts w:eastAsiaTheme="minorEastAsia"/>
      <w:sz w:val="24"/>
      <w:szCs w:val="24"/>
      <w:lang w:val="en-US"/>
    </w:rPr>
    <w:tblPr>
      <w:tblStyleRowBandSize w:val="1"/>
      <w:tblStyleColBandSize w:val="1"/>
      <w:tblBorders>
        <w:top w:val="single" w:sz="8" w:space="0" w:color="D5D6D8" w:themeColor="accent6"/>
        <w:left w:val="single" w:sz="8" w:space="0" w:color="D5D6D8" w:themeColor="accent6"/>
        <w:bottom w:val="single" w:sz="8" w:space="0" w:color="D5D6D8" w:themeColor="accent6"/>
        <w:right w:val="single" w:sz="8" w:space="0" w:color="D5D6D8" w:themeColor="accent6"/>
        <w:insideH w:val="single" w:sz="8" w:space="0" w:color="D5D6D8" w:themeColor="accent6"/>
        <w:insideV w:val="single" w:sz="8" w:space="0" w:color="D5D6D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5D6D8" w:themeColor="accent6"/>
          <w:left w:val="single" w:sz="8" w:space="0" w:color="D5D6D8" w:themeColor="accent6"/>
          <w:bottom w:val="single" w:sz="18" w:space="0" w:color="D5D6D8" w:themeColor="accent6"/>
          <w:right w:val="single" w:sz="8" w:space="0" w:color="D5D6D8" w:themeColor="accent6"/>
          <w:insideH w:val="nil"/>
          <w:insideV w:val="single" w:sz="8" w:space="0" w:color="D5D6D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5D6D8" w:themeColor="accent6"/>
          <w:left w:val="single" w:sz="8" w:space="0" w:color="D5D6D8" w:themeColor="accent6"/>
          <w:bottom w:val="single" w:sz="8" w:space="0" w:color="D5D6D8" w:themeColor="accent6"/>
          <w:right w:val="single" w:sz="8" w:space="0" w:color="D5D6D8" w:themeColor="accent6"/>
          <w:insideH w:val="nil"/>
          <w:insideV w:val="single" w:sz="8" w:space="0" w:color="D5D6D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5D6D8" w:themeColor="accent6"/>
          <w:left w:val="single" w:sz="8" w:space="0" w:color="D5D6D8" w:themeColor="accent6"/>
          <w:bottom w:val="single" w:sz="8" w:space="0" w:color="D5D6D8" w:themeColor="accent6"/>
          <w:right w:val="single" w:sz="8" w:space="0" w:color="D5D6D8" w:themeColor="accent6"/>
        </w:tcBorders>
      </w:tcPr>
    </w:tblStylePr>
    <w:tblStylePr w:type="band1Vert">
      <w:tblPr/>
      <w:tcPr>
        <w:tcBorders>
          <w:top w:val="single" w:sz="8" w:space="0" w:color="D5D6D8" w:themeColor="accent6"/>
          <w:left w:val="single" w:sz="8" w:space="0" w:color="D5D6D8" w:themeColor="accent6"/>
          <w:bottom w:val="single" w:sz="8" w:space="0" w:color="D5D6D8" w:themeColor="accent6"/>
          <w:right w:val="single" w:sz="8" w:space="0" w:color="D5D6D8" w:themeColor="accent6"/>
        </w:tcBorders>
        <w:shd w:val="clear" w:color="auto" w:fill="F4F4F5" w:themeFill="accent6" w:themeFillTint="3F"/>
      </w:tcPr>
    </w:tblStylePr>
    <w:tblStylePr w:type="band1Horz">
      <w:tblPr/>
      <w:tcPr>
        <w:tcBorders>
          <w:top w:val="single" w:sz="8" w:space="0" w:color="D5D6D8" w:themeColor="accent6"/>
          <w:left w:val="single" w:sz="8" w:space="0" w:color="D5D6D8" w:themeColor="accent6"/>
          <w:bottom w:val="single" w:sz="8" w:space="0" w:color="D5D6D8" w:themeColor="accent6"/>
          <w:right w:val="single" w:sz="8" w:space="0" w:color="D5D6D8" w:themeColor="accent6"/>
          <w:insideV w:val="single" w:sz="8" w:space="0" w:color="D5D6D8" w:themeColor="accent6"/>
        </w:tcBorders>
        <w:shd w:val="clear" w:color="auto" w:fill="F4F4F5" w:themeFill="accent6" w:themeFillTint="3F"/>
      </w:tcPr>
    </w:tblStylePr>
    <w:tblStylePr w:type="band2Horz">
      <w:tblPr/>
      <w:tcPr>
        <w:tcBorders>
          <w:top w:val="single" w:sz="8" w:space="0" w:color="D5D6D8" w:themeColor="accent6"/>
          <w:left w:val="single" w:sz="8" w:space="0" w:color="D5D6D8" w:themeColor="accent6"/>
          <w:bottom w:val="single" w:sz="8" w:space="0" w:color="D5D6D8" w:themeColor="accent6"/>
          <w:right w:val="single" w:sz="8" w:space="0" w:color="D5D6D8" w:themeColor="accent6"/>
          <w:insideV w:val="single" w:sz="8" w:space="0" w:color="D5D6D8" w:themeColor="accent6"/>
        </w:tcBorders>
      </w:tcPr>
    </w:tblStylePr>
  </w:style>
  <w:style w:type="table" w:styleId="MediumShading2-Accent6">
    <w:name w:val="Medium Shading 2 Accent 6"/>
    <w:basedOn w:val="TableNormal"/>
    <w:uiPriority w:val="64"/>
    <w:rsid w:val="00406522"/>
    <w:pPr>
      <w:spacing w:before="0" w:after="0"/>
    </w:pPr>
    <w:rPr>
      <w:rFonts w:eastAsiaTheme="minorEastAsia"/>
      <w:sz w:val="24"/>
      <w:szCs w:val="24"/>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5D6D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5D6D8" w:themeFill="accent6"/>
      </w:tcPr>
    </w:tblStylePr>
    <w:tblStylePr w:type="lastCol">
      <w:rPr>
        <w:b/>
        <w:bCs/>
        <w:color w:val="FFFFFF" w:themeColor="background1"/>
      </w:rPr>
      <w:tblPr/>
      <w:tcPr>
        <w:tcBorders>
          <w:left w:val="nil"/>
          <w:right w:val="nil"/>
          <w:insideH w:val="nil"/>
          <w:insideV w:val="nil"/>
        </w:tcBorders>
        <w:shd w:val="clear" w:color="auto" w:fill="D5D6D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DarkList-Accent6">
    <w:name w:val="Dark List Accent 6"/>
    <w:basedOn w:val="TableNormal"/>
    <w:uiPriority w:val="70"/>
    <w:rsid w:val="00406522"/>
    <w:pPr>
      <w:spacing w:before="0" w:after="0"/>
    </w:pPr>
    <w:rPr>
      <w:rFonts w:eastAsiaTheme="minorEastAsia"/>
      <w:color w:val="FFFFFF" w:themeColor="background1"/>
      <w:sz w:val="24"/>
      <w:szCs w:val="24"/>
      <w:lang w:val="en-US"/>
    </w:rPr>
    <w:tblPr>
      <w:tblStyleRowBandSize w:val="1"/>
      <w:tblStyleColBandSize w:val="1"/>
    </w:tblPr>
    <w:tcPr>
      <w:shd w:val="clear" w:color="auto" w:fill="D5D6D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6696E"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D9FA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D9FA4" w:themeFill="accent6" w:themeFillShade="BF"/>
      </w:tcPr>
    </w:tblStylePr>
    <w:tblStylePr w:type="band1Vert">
      <w:tblPr/>
      <w:tcPr>
        <w:tcBorders>
          <w:top w:val="nil"/>
          <w:left w:val="nil"/>
          <w:bottom w:val="nil"/>
          <w:right w:val="nil"/>
          <w:insideH w:val="nil"/>
          <w:insideV w:val="nil"/>
        </w:tcBorders>
        <w:shd w:val="clear" w:color="auto" w:fill="9D9FA4" w:themeFill="accent6" w:themeFillShade="BF"/>
      </w:tcPr>
    </w:tblStylePr>
    <w:tblStylePr w:type="band1Horz">
      <w:tblPr/>
      <w:tcPr>
        <w:tcBorders>
          <w:top w:val="nil"/>
          <w:left w:val="nil"/>
          <w:bottom w:val="nil"/>
          <w:right w:val="nil"/>
          <w:insideH w:val="nil"/>
          <w:insideV w:val="nil"/>
        </w:tcBorders>
        <w:shd w:val="clear" w:color="auto" w:fill="9D9FA4" w:themeFill="accent6" w:themeFillShade="BF"/>
      </w:tcPr>
    </w:tblStylePr>
  </w:style>
  <w:style w:type="paragraph" w:customStyle="1" w:styleId="BQSectionHeading">
    <w:name w:val="BQ Section Heading"/>
    <w:next w:val="BQHeading3"/>
    <w:link w:val="BQSectionHeadingChar"/>
    <w:rsid w:val="00406522"/>
    <w:pPr>
      <w:spacing w:before="360" w:after="360"/>
    </w:pPr>
    <w:rPr>
      <w:rFonts w:ascii="Klavika Light" w:eastAsiaTheme="minorEastAsia" w:hAnsi="Klavika Light"/>
      <w:color w:val="413642"/>
      <w:sz w:val="56"/>
      <w:szCs w:val="56"/>
      <w:lang w:val="en-US"/>
    </w:rPr>
  </w:style>
  <w:style w:type="paragraph" w:customStyle="1" w:styleId="BQHeading3">
    <w:name w:val="BQ Heading3"/>
    <w:next w:val="BQTableCopy"/>
    <w:link w:val="BQHeading3Char"/>
    <w:rsid w:val="00406522"/>
    <w:pPr>
      <w:keepNext/>
      <w:numPr>
        <w:ilvl w:val="2"/>
        <w:numId w:val="18"/>
      </w:numPr>
      <w:spacing w:before="120" w:after="120"/>
      <w:outlineLvl w:val="2"/>
    </w:pPr>
    <w:rPr>
      <w:rFonts w:ascii="Calibri Light" w:eastAsiaTheme="minorEastAsia" w:hAnsi="Calibri Light"/>
      <w:color w:val="324851" w:themeColor="accent1"/>
      <w:sz w:val="24"/>
      <w:szCs w:val="28"/>
      <w:lang w:val="en-US"/>
    </w:rPr>
  </w:style>
  <w:style w:type="paragraph" w:customStyle="1" w:styleId="BQTableCopy">
    <w:name w:val="BQ Table Copy"/>
    <w:link w:val="BQTableCopyChar"/>
    <w:rsid w:val="00406522"/>
    <w:pPr>
      <w:spacing w:before="120" w:after="120"/>
    </w:pPr>
    <w:rPr>
      <w:rFonts w:ascii="Calibri Light" w:eastAsiaTheme="minorEastAsia" w:hAnsi="Calibri Light"/>
      <w:color w:val="413642"/>
      <w:sz w:val="20"/>
      <w:szCs w:val="24"/>
      <w:lang w:val="en-US"/>
    </w:rPr>
  </w:style>
  <w:style w:type="paragraph" w:customStyle="1" w:styleId="BQReportCoverTitle">
    <w:name w:val="BQ_Report Cover_Title"/>
    <w:basedOn w:val="Normal"/>
    <w:link w:val="BQReportCoverTitleChar"/>
    <w:rsid w:val="00406522"/>
    <w:pPr>
      <w:spacing w:after="240"/>
    </w:pPr>
    <w:rPr>
      <w:rFonts w:ascii="Klavika Light" w:eastAsiaTheme="minorEastAsia" w:hAnsi="Klavika Light"/>
      <w:caps/>
      <w:color w:val="FFFFFF" w:themeColor="background1"/>
      <w:sz w:val="56"/>
      <w:szCs w:val="96"/>
    </w:rPr>
  </w:style>
  <w:style w:type="paragraph" w:customStyle="1" w:styleId="BQReportCoverSubtitle">
    <w:name w:val="BQ_Report Cover_Subtitle"/>
    <w:basedOn w:val="BQReportCoverTitle"/>
    <w:link w:val="BQReportCoverSubtitleChar"/>
    <w:rsid w:val="00406522"/>
    <w:pPr>
      <w:spacing w:after="840"/>
      <w:ind w:right="4814"/>
    </w:pPr>
    <w:rPr>
      <w:rFonts w:ascii="Calibri Light" w:hAnsi="Calibri Light"/>
      <w:sz w:val="40"/>
      <w:szCs w:val="56"/>
    </w:rPr>
  </w:style>
  <w:style w:type="character" w:customStyle="1" w:styleId="BQReportCoverTitleChar">
    <w:name w:val="BQ_Report Cover_Title Char"/>
    <w:basedOn w:val="DefaultParagraphFont"/>
    <w:link w:val="BQReportCoverTitle"/>
    <w:rsid w:val="00406522"/>
    <w:rPr>
      <w:rFonts w:ascii="Klavika Light" w:eastAsiaTheme="minorEastAsia" w:hAnsi="Klavika Light"/>
      <w:caps/>
      <w:color w:val="FFFFFF" w:themeColor="background1"/>
      <w:sz w:val="56"/>
      <w:szCs w:val="96"/>
    </w:rPr>
  </w:style>
  <w:style w:type="paragraph" w:customStyle="1" w:styleId="BQReportCoverDate">
    <w:name w:val="BQ_Report Cover_Date"/>
    <w:basedOn w:val="Normal"/>
    <w:link w:val="BQReportCoverDateChar"/>
    <w:rsid w:val="00406522"/>
    <w:pPr>
      <w:spacing w:after="240"/>
      <w:ind w:right="4954"/>
    </w:pPr>
    <w:rPr>
      <w:rFonts w:ascii="Calibri Light" w:eastAsiaTheme="minorEastAsia" w:hAnsi="Calibri Light"/>
      <w:b/>
      <w:noProof/>
      <w:color w:val="324851" w:themeColor="accent1"/>
      <w:sz w:val="40"/>
      <w:szCs w:val="40"/>
      <w:lang w:eastAsia="en-AU"/>
    </w:rPr>
  </w:style>
  <w:style w:type="character" w:customStyle="1" w:styleId="BQReportCoverSubtitleChar">
    <w:name w:val="BQ_Report Cover_Subtitle Char"/>
    <w:basedOn w:val="BQReportCoverTitleChar"/>
    <w:link w:val="BQReportCoverSubtitle"/>
    <w:rsid w:val="00406522"/>
    <w:rPr>
      <w:rFonts w:ascii="Calibri Light" w:eastAsiaTheme="minorEastAsia" w:hAnsi="Calibri Light"/>
      <w:caps/>
      <w:color w:val="FFFFFF" w:themeColor="background1"/>
      <w:sz w:val="40"/>
      <w:szCs w:val="56"/>
    </w:rPr>
  </w:style>
  <w:style w:type="paragraph" w:customStyle="1" w:styleId="BQHeading1">
    <w:name w:val="BQ_Heading 1"/>
    <w:basedOn w:val="BQSectionHeading"/>
    <w:link w:val="BQHeading1Char"/>
    <w:rsid w:val="00406522"/>
    <w:pPr>
      <w:numPr>
        <w:numId w:val="18"/>
      </w:numPr>
      <w:spacing w:after="0"/>
    </w:pPr>
    <w:rPr>
      <w:rFonts w:ascii="Calibri Light" w:hAnsi="Calibri Light"/>
      <w:caps/>
      <w:sz w:val="32"/>
    </w:rPr>
  </w:style>
  <w:style w:type="character" w:customStyle="1" w:styleId="BQReportCoverDateChar">
    <w:name w:val="BQ_Report Cover_Date Char"/>
    <w:basedOn w:val="DefaultParagraphFont"/>
    <w:link w:val="BQReportCoverDate"/>
    <w:rsid w:val="00406522"/>
    <w:rPr>
      <w:rFonts w:ascii="Calibri Light" w:eastAsiaTheme="minorEastAsia" w:hAnsi="Calibri Light"/>
      <w:b/>
      <w:noProof/>
      <w:color w:val="324851" w:themeColor="accent1"/>
      <w:sz w:val="40"/>
      <w:szCs w:val="40"/>
      <w:lang w:eastAsia="en-AU"/>
    </w:rPr>
  </w:style>
  <w:style w:type="paragraph" w:customStyle="1" w:styleId="BQHeading2">
    <w:name w:val="BQ_Heading 2"/>
    <w:basedOn w:val="BQHeading3"/>
    <w:link w:val="BQHeading2Char"/>
    <w:rsid w:val="00406522"/>
    <w:pPr>
      <w:numPr>
        <w:ilvl w:val="1"/>
      </w:numPr>
      <w:spacing w:before="160"/>
      <w:ind w:left="851"/>
      <w:outlineLvl w:val="1"/>
    </w:pPr>
    <w:rPr>
      <w:sz w:val="28"/>
    </w:rPr>
  </w:style>
  <w:style w:type="character" w:customStyle="1" w:styleId="BQSectionHeadingChar">
    <w:name w:val="BQ Section Heading Char"/>
    <w:basedOn w:val="DefaultParagraphFont"/>
    <w:link w:val="BQSectionHeading"/>
    <w:rsid w:val="00406522"/>
    <w:rPr>
      <w:rFonts w:ascii="Klavika Light" w:eastAsiaTheme="minorEastAsia" w:hAnsi="Klavika Light"/>
      <w:color w:val="413642"/>
      <w:sz w:val="56"/>
      <w:szCs w:val="56"/>
      <w:lang w:val="en-US"/>
    </w:rPr>
  </w:style>
  <w:style w:type="character" w:customStyle="1" w:styleId="BQHeading1Char">
    <w:name w:val="BQ_Heading 1 Char"/>
    <w:basedOn w:val="BQSectionHeadingChar"/>
    <w:link w:val="BQHeading1"/>
    <w:rsid w:val="00406522"/>
    <w:rPr>
      <w:rFonts w:ascii="Calibri Light" w:eastAsiaTheme="minorEastAsia" w:hAnsi="Calibri Light"/>
      <w:caps/>
      <w:color w:val="413642"/>
      <w:sz w:val="32"/>
      <w:szCs w:val="56"/>
      <w:lang w:val="en-US"/>
    </w:rPr>
  </w:style>
  <w:style w:type="paragraph" w:customStyle="1" w:styleId="BQBody">
    <w:name w:val="BQ_Body"/>
    <w:basedOn w:val="BQTableCopy"/>
    <w:link w:val="BQBodyChar"/>
    <w:rsid w:val="00406522"/>
  </w:style>
  <w:style w:type="character" w:customStyle="1" w:styleId="BQHeading3Char">
    <w:name w:val="BQ Heading3 Char"/>
    <w:basedOn w:val="DefaultParagraphFont"/>
    <w:link w:val="BQHeading3"/>
    <w:rsid w:val="00406522"/>
    <w:rPr>
      <w:rFonts w:ascii="Calibri Light" w:eastAsiaTheme="minorEastAsia" w:hAnsi="Calibri Light"/>
      <w:color w:val="324851" w:themeColor="accent1"/>
      <w:sz w:val="24"/>
      <w:szCs w:val="28"/>
      <w:lang w:val="en-US"/>
    </w:rPr>
  </w:style>
  <w:style w:type="character" w:customStyle="1" w:styleId="BQHeading2Char">
    <w:name w:val="BQ_Heading 2 Char"/>
    <w:basedOn w:val="BQHeading3Char"/>
    <w:link w:val="BQHeading2"/>
    <w:rsid w:val="00406522"/>
    <w:rPr>
      <w:rFonts w:ascii="Calibri Light" w:eastAsiaTheme="minorEastAsia" w:hAnsi="Calibri Light"/>
      <w:color w:val="324851" w:themeColor="accent1"/>
      <w:sz w:val="28"/>
      <w:szCs w:val="28"/>
      <w:lang w:val="en-US"/>
    </w:rPr>
  </w:style>
  <w:style w:type="paragraph" w:customStyle="1" w:styleId="BQTableHeading1">
    <w:name w:val="BQ_Table Heading 1"/>
    <w:basedOn w:val="BQBody"/>
    <w:link w:val="BQTableHeading1Char"/>
    <w:rsid w:val="00406522"/>
    <w:pPr>
      <w:spacing w:before="40" w:after="40"/>
    </w:pPr>
    <w:rPr>
      <w:b/>
      <w:bCs/>
      <w:caps/>
      <w:color w:val="FFFFFF" w:themeColor="background1"/>
      <w:sz w:val="21"/>
      <w:szCs w:val="20"/>
    </w:rPr>
  </w:style>
  <w:style w:type="character" w:customStyle="1" w:styleId="BQTableCopyChar">
    <w:name w:val="BQ Table Copy Char"/>
    <w:basedOn w:val="DefaultParagraphFont"/>
    <w:link w:val="BQTableCopy"/>
    <w:rsid w:val="00406522"/>
    <w:rPr>
      <w:rFonts w:ascii="Calibri Light" w:eastAsiaTheme="minorEastAsia" w:hAnsi="Calibri Light"/>
      <w:color w:val="413642"/>
      <w:sz w:val="20"/>
      <w:szCs w:val="24"/>
      <w:lang w:val="en-US"/>
    </w:rPr>
  </w:style>
  <w:style w:type="character" w:customStyle="1" w:styleId="BQBodyChar">
    <w:name w:val="BQ_Body Char"/>
    <w:basedOn w:val="BQTableCopyChar"/>
    <w:link w:val="BQBody"/>
    <w:rsid w:val="00406522"/>
    <w:rPr>
      <w:rFonts w:ascii="Calibri Light" w:eastAsiaTheme="minorEastAsia" w:hAnsi="Calibri Light"/>
      <w:color w:val="413642"/>
      <w:sz w:val="20"/>
      <w:szCs w:val="24"/>
      <w:lang w:val="en-US"/>
    </w:rPr>
  </w:style>
  <w:style w:type="paragraph" w:customStyle="1" w:styleId="BQTableHeading2">
    <w:name w:val="BQ_Table Heading 2"/>
    <w:basedOn w:val="Normal"/>
    <w:link w:val="BQTableHeading2Char"/>
    <w:rsid w:val="00406522"/>
    <w:pPr>
      <w:spacing w:before="20" w:after="20"/>
    </w:pPr>
    <w:rPr>
      <w:rFonts w:ascii="Calibri Light" w:eastAsiaTheme="minorEastAsia" w:hAnsi="Calibri Light"/>
      <w:szCs w:val="24"/>
    </w:rPr>
  </w:style>
  <w:style w:type="character" w:customStyle="1" w:styleId="BQTableHeading1Char">
    <w:name w:val="BQ_Table Heading 1 Char"/>
    <w:basedOn w:val="BQBodyChar"/>
    <w:link w:val="BQTableHeading1"/>
    <w:rsid w:val="00406522"/>
    <w:rPr>
      <w:rFonts w:ascii="Calibri Light" w:eastAsiaTheme="minorEastAsia" w:hAnsi="Calibri Light"/>
      <w:b/>
      <w:bCs/>
      <w:caps/>
      <w:color w:val="FFFFFF" w:themeColor="background1"/>
      <w:sz w:val="21"/>
      <w:szCs w:val="20"/>
      <w:lang w:val="en-US"/>
    </w:rPr>
  </w:style>
  <w:style w:type="paragraph" w:customStyle="1" w:styleId="BQBullet">
    <w:name w:val="BQ_Bullet"/>
    <w:basedOn w:val="BQTableCopy"/>
    <w:link w:val="BQBulletChar"/>
    <w:rsid w:val="00406522"/>
    <w:pPr>
      <w:numPr>
        <w:numId w:val="12"/>
      </w:numPr>
    </w:pPr>
  </w:style>
  <w:style w:type="character" w:customStyle="1" w:styleId="BQTableHeading2Char">
    <w:name w:val="BQ_Table Heading 2 Char"/>
    <w:basedOn w:val="DefaultParagraphFont"/>
    <w:link w:val="BQTableHeading2"/>
    <w:rsid w:val="00406522"/>
    <w:rPr>
      <w:rFonts w:ascii="Calibri Light" w:eastAsiaTheme="minorEastAsia" w:hAnsi="Calibri Light"/>
      <w:sz w:val="20"/>
      <w:szCs w:val="24"/>
    </w:rPr>
  </w:style>
  <w:style w:type="paragraph" w:customStyle="1" w:styleId="BQGraphHeading">
    <w:name w:val="BQ_Graph Heading"/>
    <w:basedOn w:val="BQTableCopy"/>
    <w:link w:val="BQGraphHeadingChar"/>
    <w:rsid w:val="00406522"/>
    <w:pPr>
      <w:spacing w:before="0" w:after="0"/>
    </w:pPr>
    <w:rPr>
      <w:color w:val="DE7C00"/>
      <w:szCs w:val="20"/>
    </w:rPr>
  </w:style>
  <w:style w:type="character" w:customStyle="1" w:styleId="BQBulletChar">
    <w:name w:val="BQ_Bullet Char"/>
    <w:basedOn w:val="BQTableCopyChar"/>
    <w:link w:val="BQBullet"/>
    <w:rsid w:val="00406522"/>
    <w:rPr>
      <w:rFonts w:ascii="Calibri Light" w:eastAsiaTheme="minorEastAsia" w:hAnsi="Calibri Light"/>
      <w:color w:val="413642"/>
      <w:sz w:val="20"/>
      <w:szCs w:val="24"/>
      <w:lang w:val="en-US"/>
    </w:rPr>
  </w:style>
  <w:style w:type="character" w:customStyle="1" w:styleId="BQGraphHeadingChar">
    <w:name w:val="BQ_Graph Heading Char"/>
    <w:basedOn w:val="BQTableCopyChar"/>
    <w:link w:val="BQGraphHeading"/>
    <w:rsid w:val="00406522"/>
    <w:rPr>
      <w:rFonts w:ascii="Calibri Light" w:eastAsiaTheme="minorEastAsia" w:hAnsi="Calibri Light"/>
      <w:color w:val="DE7C00"/>
      <w:sz w:val="20"/>
      <w:szCs w:val="20"/>
      <w:lang w:val="en-US"/>
    </w:rPr>
  </w:style>
  <w:style w:type="character" w:styleId="HTMLCite">
    <w:name w:val="HTML Cite"/>
    <w:basedOn w:val="DefaultParagraphFont"/>
    <w:uiPriority w:val="99"/>
    <w:semiHidden/>
    <w:rsid w:val="00406522"/>
    <w:rPr>
      <w:i/>
      <w:iCs/>
    </w:rPr>
  </w:style>
  <w:style w:type="paragraph" w:customStyle="1" w:styleId="TOCTitle">
    <w:name w:val="TOC Title"/>
    <w:link w:val="TOCTitleChar"/>
    <w:qFormat/>
    <w:rsid w:val="00406522"/>
    <w:pPr>
      <w:spacing w:before="120" w:after="240"/>
    </w:pPr>
    <w:rPr>
      <w:rFonts w:ascii="Calibri Light" w:eastAsiaTheme="minorEastAsia" w:hAnsi="Calibri Light"/>
      <w:caps/>
      <w:noProof/>
      <w:color w:val="413642"/>
      <w:sz w:val="32"/>
      <w:szCs w:val="56"/>
      <w:lang w:val="en-US" w:eastAsia="en-AU"/>
    </w:rPr>
  </w:style>
  <w:style w:type="character" w:customStyle="1" w:styleId="TOCTitleChar">
    <w:name w:val="TOC Title Char"/>
    <w:basedOn w:val="BQHeading1Char"/>
    <w:link w:val="TOCTitle"/>
    <w:rsid w:val="00406522"/>
    <w:rPr>
      <w:rFonts w:ascii="Calibri Light" w:eastAsiaTheme="minorEastAsia" w:hAnsi="Calibri Light"/>
      <w:caps/>
      <w:noProof/>
      <w:color w:val="413642"/>
      <w:sz w:val="32"/>
      <w:szCs w:val="56"/>
      <w:lang w:val="en-US" w:eastAsia="en-AU"/>
    </w:rPr>
  </w:style>
  <w:style w:type="paragraph" w:customStyle="1" w:styleId="PageNumber1">
    <w:name w:val="Page Number1"/>
    <w:basedOn w:val="Footer"/>
    <w:rsid w:val="00406522"/>
    <w:pPr>
      <w:framePr w:w="498" w:wrap="around" w:vAnchor="text" w:hAnchor="page" w:x="1135" w:y="39"/>
      <w:pBdr>
        <w:top w:val="none" w:sz="0" w:space="0" w:color="auto"/>
      </w:pBdr>
      <w:tabs>
        <w:tab w:val="clear" w:pos="9639"/>
        <w:tab w:val="center" w:pos="4320"/>
        <w:tab w:val="right" w:pos="8640"/>
      </w:tabs>
    </w:pPr>
    <w:rPr>
      <w:rFonts w:ascii="Calibri Light" w:eastAsiaTheme="minorEastAsia" w:hAnsi="Calibri Light"/>
      <w:caps w:val="0"/>
      <w:noProof w:val="0"/>
      <w:color w:val="434343"/>
      <w:sz w:val="18"/>
      <w:szCs w:val="18"/>
      <w:lang w:eastAsia="en-US"/>
    </w:rPr>
  </w:style>
  <w:style w:type="paragraph" w:customStyle="1" w:styleId="BQTableHeading1option2">
    <w:name w:val="BQ_Table Heading 1_option 2"/>
    <w:basedOn w:val="BodyText"/>
    <w:next w:val="BodyText"/>
    <w:rsid w:val="00406522"/>
    <w:pPr>
      <w:jc w:val="center"/>
    </w:pPr>
    <w:rPr>
      <w:rFonts w:ascii="Calibri Light" w:hAnsi="Calibri Light"/>
      <w:b/>
      <w:color w:val="434343"/>
      <w:szCs w:val="20"/>
    </w:rPr>
  </w:style>
  <w:style w:type="paragraph" w:customStyle="1" w:styleId="BQBodyCopy">
    <w:name w:val="BQ Body Copy"/>
    <w:link w:val="BQBodyCopyChar"/>
    <w:rsid w:val="00406522"/>
    <w:pPr>
      <w:spacing w:before="120" w:after="120"/>
    </w:pPr>
    <w:rPr>
      <w:rFonts w:ascii="Calibri Light" w:eastAsiaTheme="minorEastAsia" w:hAnsi="Calibri Light"/>
      <w:color w:val="413642"/>
      <w:sz w:val="20"/>
      <w:szCs w:val="24"/>
      <w:lang w:val="en-US"/>
    </w:rPr>
  </w:style>
  <w:style w:type="character" w:customStyle="1" w:styleId="BQBodyCopyChar">
    <w:name w:val="BQ Body Copy Char"/>
    <w:basedOn w:val="DefaultParagraphFont"/>
    <w:link w:val="BQBodyCopy"/>
    <w:rsid w:val="00406522"/>
    <w:rPr>
      <w:rFonts w:ascii="Calibri Light" w:eastAsiaTheme="minorEastAsia" w:hAnsi="Calibri Light"/>
      <w:color w:val="413642"/>
      <w:sz w:val="20"/>
      <w:szCs w:val="24"/>
      <w:lang w:val="en-US"/>
    </w:rPr>
  </w:style>
  <w:style w:type="paragraph" w:customStyle="1" w:styleId="Default">
    <w:name w:val="Default"/>
    <w:rsid w:val="00406522"/>
    <w:pPr>
      <w:autoSpaceDE w:val="0"/>
      <w:autoSpaceDN w:val="0"/>
      <w:adjustRightInd w:val="0"/>
      <w:spacing w:before="0" w:after="0"/>
    </w:pPr>
    <w:rPr>
      <w:rFonts w:ascii="Arial" w:hAnsi="Arial" w:cs="Arial"/>
      <w:color w:val="000000"/>
      <w:sz w:val="24"/>
      <w:szCs w:val="24"/>
    </w:rPr>
  </w:style>
  <w:style w:type="paragraph" w:customStyle="1" w:styleId="AComment">
    <w:name w:val="A_Comment"/>
    <w:basedOn w:val="BQBodyCopy"/>
    <w:link w:val="ACommentChar"/>
    <w:rsid w:val="00406522"/>
    <w:rPr>
      <w:color w:val="414042" w:themeColor="text2"/>
    </w:rPr>
  </w:style>
  <w:style w:type="paragraph" w:customStyle="1" w:styleId="ABullet">
    <w:name w:val="A_Bullet"/>
    <w:basedOn w:val="BQBullet"/>
    <w:link w:val="ABulletChar"/>
    <w:rsid w:val="00406522"/>
    <w:pPr>
      <w:numPr>
        <w:numId w:val="14"/>
      </w:numPr>
    </w:pPr>
  </w:style>
  <w:style w:type="character" w:customStyle="1" w:styleId="ACommentChar">
    <w:name w:val="A_Comment Char"/>
    <w:basedOn w:val="BQBodyCopyChar"/>
    <w:link w:val="AComment"/>
    <w:rsid w:val="00406522"/>
    <w:rPr>
      <w:rFonts w:ascii="Calibri Light" w:eastAsiaTheme="minorEastAsia" w:hAnsi="Calibri Light"/>
      <w:color w:val="414042" w:themeColor="text2"/>
      <w:sz w:val="20"/>
      <w:szCs w:val="24"/>
      <w:lang w:val="en-US"/>
    </w:rPr>
  </w:style>
  <w:style w:type="character" w:customStyle="1" w:styleId="ABulletChar">
    <w:name w:val="A_Bullet Char"/>
    <w:basedOn w:val="BQBulletChar"/>
    <w:link w:val="ABullet"/>
    <w:rsid w:val="00406522"/>
    <w:rPr>
      <w:rFonts w:ascii="Calibri Light" w:eastAsiaTheme="minorEastAsia" w:hAnsi="Calibri Light"/>
      <w:color w:val="413642"/>
      <w:sz w:val="20"/>
      <w:szCs w:val="24"/>
      <w:lang w:val="en-US"/>
    </w:rPr>
  </w:style>
  <w:style w:type="paragraph" w:styleId="NormalWeb">
    <w:name w:val="Normal (Web)"/>
    <w:basedOn w:val="Normal"/>
    <w:uiPriority w:val="99"/>
    <w:unhideWhenUsed/>
    <w:rsid w:val="00406522"/>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BodyBullett">
    <w:name w:val="Body Bullett"/>
    <w:basedOn w:val="Normal"/>
    <w:rsid w:val="00406522"/>
    <w:pPr>
      <w:numPr>
        <w:ilvl w:val="1"/>
        <w:numId w:val="15"/>
      </w:numPr>
      <w:spacing w:before="40"/>
    </w:pPr>
    <w:rPr>
      <w:rFonts w:ascii="Verdana" w:eastAsia="Arial Unicode MS" w:hAnsi="Verdana" w:cs="Times New Roman"/>
      <w:szCs w:val="20"/>
    </w:rPr>
  </w:style>
  <w:style w:type="paragraph" w:customStyle="1" w:styleId="CommentaryDTFBullet">
    <w:name w:val="Commentary DTF Bullet"/>
    <w:basedOn w:val="BodyBullett"/>
    <w:rsid w:val="00406522"/>
    <w:pPr>
      <w:numPr>
        <w:ilvl w:val="0"/>
        <w:numId w:val="0"/>
      </w:numPr>
    </w:pPr>
    <w:rPr>
      <w:color w:val="FF0000"/>
    </w:rPr>
  </w:style>
  <w:style w:type="character" w:styleId="CommentReference">
    <w:name w:val="annotation reference"/>
    <w:basedOn w:val="DefaultParagraphFont"/>
    <w:uiPriority w:val="99"/>
    <w:semiHidden/>
    <w:unhideWhenUsed/>
    <w:rsid w:val="00406522"/>
    <w:rPr>
      <w:sz w:val="16"/>
      <w:szCs w:val="16"/>
    </w:rPr>
  </w:style>
  <w:style w:type="paragraph" w:styleId="CommentText">
    <w:name w:val="annotation text"/>
    <w:basedOn w:val="Normal"/>
    <w:link w:val="CommentTextChar"/>
    <w:uiPriority w:val="99"/>
    <w:semiHidden/>
    <w:unhideWhenUsed/>
    <w:rsid w:val="00406522"/>
    <w:rPr>
      <w:rFonts w:eastAsiaTheme="minorEastAsia"/>
      <w:szCs w:val="20"/>
      <w:lang w:val="en-US"/>
    </w:rPr>
  </w:style>
  <w:style w:type="character" w:customStyle="1" w:styleId="CommentTextChar">
    <w:name w:val="Comment Text Char"/>
    <w:basedOn w:val="DefaultParagraphFont"/>
    <w:link w:val="CommentText"/>
    <w:uiPriority w:val="99"/>
    <w:semiHidden/>
    <w:rsid w:val="00406522"/>
    <w:rPr>
      <w:rFonts w:eastAsiaTheme="minorEastAsia"/>
      <w:sz w:val="20"/>
      <w:szCs w:val="20"/>
      <w:lang w:val="en-US"/>
    </w:rPr>
  </w:style>
  <w:style w:type="paragraph" w:styleId="CommentSubject">
    <w:name w:val="annotation subject"/>
    <w:basedOn w:val="CommentText"/>
    <w:next w:val="CommentText"/>
    <w:link w:val="CommentSubjectChar"/>
    <w:uiPriority w:val="99"/>
    <w:semiHidden/>
    <w:unhideWhenUsed/>
    <w:rsid w:val="00406522"/>
    <w:rPr>
      <w:b/>
      <w:bCs/>
    </w:rPr>
  </w:style>
  <w:style w:type="character" w:customStyle="1" w:styleId="CommentSubjectChar">
    <w:name w:val="Comment Subject Char"/>
    <w:basedOn w:val="CommentTextChar"/>
    <w:link w:val="CommentSubject"/>
    <w:uiPriority w:val="99"/>
    <w:semiHidden/>
    <w:rsid w:val="00406522"/>
    <w:rPr>
      <w:rFonts w:eastAsiaTheme="minorEastAsia"/>
      <w:b/>
      <w:bCs/>
      <w:sz w:val="20"/>
      <w:szCs w:val="20"/>
      <w:lang w:val="en-US"/>
    </w:rPr>
  </w:style>
  <w:style w:type="paragraph" w:customStyle="1" w:styleId="9TableText">
    <w:name w:val="9. Table Text"/>
    <w:basedOn w:val="Normal"/>
    <w:rsid w:val="00406522"/>
    <w:pPr>
      <w:numPr>
        <w:numId w:val="13"/>
      </w:numPr>
      <w:spacing w:before="60" w:after="60"/>
    </w:pPr>
    <w:rPr>
      <w:rFonts w:ascii="Arial" w:eastAsia="Calibri" w:hAnsi="Arial" w:cs="Arial"/>
      <w:color w:val="000000"/>
    </w:rPr>
  </w:style>
  <w:style w:type="paragraph" w:customStyle="1" w:styleId="9aTableHeading">
    <w:name w:val="9a. Table Heading"/>
    <w:basedOn w:val="9TableText"/>
    <w:rsid w:val="00406522"/>
    <w:pPr>
      <w:numPr>
        <w:ilvl w:val="1"/>
      </w:numPr>
      <w:jc w:val="center"/>
    </w:pPr>
  </w:style>
  <w:style w:type="paragraph" w:customStyle="1" w:styleId="9cTabletextsubparagraphnumbered">
    <w:name w:val="9c. Table text sub paragraph (numbered)"/>
    <w:basedOn w:val="Normal"/>
    <w:rsid w:val="00406522"/>
    <w:pPr>
      <w:tabs>
        <w:tab w:val="num" w:pos="851"/>
      </w:tabs>
      <w:spacing w:before="60" w:after="60"/>
      <w:ind w:left="851" w:hanging="567"/>
    </w:pPr>
    <w:rPr>
      <w:rFonts w:ascii="Arial" w:eastAsia="Calibri" w:hAnsi="Arial" w:cs="Times New Roman"/>
      <w:color w:val="000000"/>
    </w:rPr>
  </w:style>
  <w:style w:type="paragraph" w:customStyle="1" w:styleId="BQBullet0">
    <w:name w:val="BQ Bullet"/>
    <w:basedOn w:val="BQBodyCopy"/>
    <w:link w:val="BQBulletChar0"/>
    <w:rsid w:val="00406522"/>
    <w:pPr>
      <w:ind w:left="720" w:hanging="360"/>
    </w:pPr>
  </w:style>
  <w:style w:type="character" w:customStyle="1" w:styleId="BQBulletChar0">
    <w:name w:val="BQ Bullet Char"/>
    <w:basedOn w:val="BQBodyCopyChar"/>
    <w:link w:val="BQBullet0"/>
    <w:rsid w:val="00406522"/>
    <w:rPr>
      <w:rFonts w:ascii="Calibri Light" w:eastAsiaTheme="minorEastAsia" w:hAnsi="Calibri Light"/>
      <w:color w:val="413642"/>
      <w:sz w:val="20"/>
      <w:szCs w:val="24"/>
      <w:lang w:val="en-US"/>
    </w:rPr>
  </w:style>
  <w:style w:type="character" w:customStyle="1" w:styleId="ListParagraphChar">
    <w:name w:val="List Paragraph Char"/>
    <w:aliases w:val="Recommendation Char,standard lewis Char,List Paragraph1 Char,F5 List Paragraph Char,Dot pt Char,No Spacing1 Char,List Paragraph Char Char Char Char,Indicator Text Char,Numbered Para 1 Char,Colorful List - Accent 11 Char,Bullet 1 Char"/>
    <w:basedOn w:val="DefaultParagraphFont"/>
    <w:link w:val="ListParagraph0"/>
    <w:uiPriority w:val="34"/>
    <w:qFormat/>
    <w:rsid w:val="00406522"/>
    <w:rPr>
      <w:rFonts w:ascii="Gotham Thin" w:eastAsia="Times New Roman" w:hAnsi="Gotham Thin" w:cs="Times New Roman"/>
      <w:sz w:val="20"/>
      <w:szCs w:val="24"/>
      <w:lang w:eastAsia="en-AU"/>
    </w:rPr>
  </w:style>
  <w:style w:type="table" w:customStyle="1" w:styleId="TableGrid1">
    <w:name w:val="Table Grid1"/>
    <w:basedOn w:val="TableNormal"/>
    <w:next w:val="TableGrid"/>
    <w:uiPriority w:val="39"/>
    <w:rsid w:val="00406522"/>
    <w:pPr>
      <w:spacing w:before="0" w:after="0"/>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Qtopofpage">
    <w:name w:val="BQ top of page"/>
    <w:basedOn w:val="BQBody"/>
    <w:rsid w:val="00406522"/>
    <w:pPr>
      <w:pageBreakBefore/>
    </w:pPr>
    <w:rPr>
      <w:sz w:val="36"/>
      <w:szCs w:val="36"/>
    </w:rPr>
  </w:style>
  <w:style w:type="paragraph" w:customStyle="1" w:styleId="calloutbox">
    <w:name w:val="call out box"/>
    <w:basedOn w:val="BQBody"/>
    <w:link w:val="calloutboxChar"/>
    <w:rsid w:val="00406522"/>
    <w:pPr>
      <w:pBdr>
        <w:top w:val="single" w:sz="18" w:space="8" w:color="DE7C00"/>
        <w:left w:val="single" w:sz="18" w:space="8" w:color="DE7C00"/>
        <w:bottom w:val="single" w:sz="18" w:space="8" w:color="DE7C00"/>
        <w:right w:val="single" w:sz="18" w:space="8" w:color="DE7C00"/>
      </w:pBdr>
      <w:spacing w:before="240" w:after="240"/>
      <w:ind w:left="567" w:right="567"/>
      <w:contextualSpacing/>
    </w:pPr>
  </w:style>
  <w:style w:type="character" w:customStyle="1" w:styleId="calloutboxChar">
    <w:name w:val="call out box Char"/>
    <w:basedOn w:val="BQBodyChar"/>
    <w:link w:val="calloutbox"/>
    <w:rsid w:val="00406522"/>
    <w:rPr>
      <w:rFonts w:ascii="Calibri Light" w:eastAsiaTheme="minorEastAsia" w:hAnsi="Calibri Light"/>
      <w:color w:val="413642"/>
      <w:sz w:val="20"/>
      <w:szCs w:val="24"/>
      <w:lang w:val="en-US"/>
    </w:rPr>
  </w:style>
  <w:style w:type="paragraph" w:styleId="EndnoteText">
    <w:name w:val="endnote text"/>
    <w:basedOn w:val="Normal"/>
    <w:link w:val="EndnoteTextChar"/>
    <w:uiPriority w:val="99"/>
    <w:semiHidden/>
    <w:unhideWhenUsed/>
    <w:rsid w:val="00406522"/>
    <w:rPr>
      <w:rFonts w:eastAsiaTheme="minorEastAsia"/>
      <w:szCs w:val="20"/>
    </w:rPr>
  </w:style>
  <w:style w:type="character" w:customStyle="1" w:styleId="EndnoteTextChar">
    <w:name w:val="Endnote Text Char"/>
    <w:basedOn w:val="DefaultParagraphFont"/>
    <w:link w:val="EndnoteText"/>
    <w:uiPriority w:val="99"/>
    <w:semiHidden/>
    <w:rsid w:val="00406522"/>
    <w:rPr>
      <w:rFonts w:eastAsiaTheme="minorEastAsia"/>
      <w:sz w:val="20"/>
      <w:szCs w:val="20"/>
    </w:rPr>
  </w:style>
  <w:style w:type="character" w:styleId="Strong">
    <w:name w:val="Strong"/>
    <w:basedOn w:val="DefaultParagraphFont"/>
    <w:uiPriority w:val="22"/>
    <w:qFormat/>
    <w:rsid w:val="002E6048"/>
    <w:rPr>
      <w:rFonts w:ascii="Gotham" w:hAnsi="Gotham"/>
      <w:b/>
      <w:bCs/>
    </w:rPr>
  </w:style>
  <w:style w:type="paragraph" w:customStyle="1" w:styleId="Sections">
    <w:name w:val="Sections"/>
    <w:basedOn w:val="BodyTextIndent3"/>
    <w:rsid w:val="00406522"/>
    <w:pPr>
      <w:ind w:left="1080"/>
    </w:pPr>
  </w:style>
  <w:style w:type="paragraph" w:styleId="BodyTextIndent3">
    <w:name w:val="Body Text Indent 3"/>
    <w:basedOn w:val="Normal"/>
    <w:link w:val="BodyTextIndent3Char"/>
    <w:uiPriority w:val="99"/>
    <w:semiHidden/>
    <w:unhideWhenUsed/>
    <w:rsid w:val="00406522"/>
    <w:pPr>
      <w:spacing w:after="120"/>
      <w:ind w:left="283"/>
    </w:pPr>
    <w:rPr>
      <w:rFonts w:eastAsiaTheme="minorEastAsia"/>
      <w:sz w:val="16"/>
      <w:szCs w:val="16"/>
    </w:rPr>
  </w:style>
  <w:style w:type="character" w:customStyle="1" w:styleId="BodyTextIndent3Char">
    <w:name w:val="Body Text Indent 3 Char"/>
    <w:basedOn w:val="DefaultParagraphFont"/>
    <w:link w:val="BodyTextIndent3"/>
    <w:uiPriority w:val="99"/>
    <w:semiHidden/>
    <w:rsid w:val="00406522"/>
    <w:rPr>
      <w:rFonts w:eastAsiaTheme="minorEastAsia"/>
      <w:sz w:val="16"/>
      <w:szCs w:val="16"/>
    </w:rPr>
  </w:style>
  <w:style w:type="paragraph" w:customStyle="1" w:styleId="BQbullet2">
    <w:name w:val="BQ bullet 2"/>
    <w:basedOn w:val="BQBullet"/>
    <w:rsid w:val="00406522"/>
    <w:pPr>
      <w:numPr>
        <w:ilvl w:val="1"/>
      </w:numPr>
    </w:pPr>
  </w:style>
  <w:style w:type="paragraph" w:customStyle="1" w:styleId="BQnumberedbullet">
    <w:name w:val="BQ numbered bullet"/>
    <w:basedOn w:val="BQBody"/>
    <w:rsid w:val="00406522"/>
    <w:pPr>
      <w:numPr>
        <w:numId w:val="16"/>
      </w:numPr>
      <w:tabs>
        <w:tab w:val="num" w:pos="1134"/>
      </w:tabs>
      <w:ind w:left="1134" w:hanging="1134"/>
    </w:pPr>
  </w:style>
  <w:style w:type="paragraph" w:customStyle="1" w:styleId="BQNumberedPara">
    <w:name w:val="BQ Numbered Para"/>
    <w:basedOn w:val="BQBody"/>
    <w:rsid w:val="00406522"/>
    <w:pPr>
      <w:ind w:left="426" w:hanging="426"/>
    </w:pPr>
  </w:style>
  <w:style w:type="paragraph" w:customStyle="1" w:styleId="BQsections">
    <w:name w:val="BQ sections"/>
    <w:basedOn w:val="BQnumberedbullet"/>
    <w:rsid w:val="00406522"/>
    <w:pPr>
      <w:numPr>
        <w:numId w:val="17"/>
      </w:numPr>
      <w:tabs>
        <w:tab w:val="num" w:pos="397"/>
      </w:tabs>
      <w:ind w:left="397" w:hanging="284"/>
    </w:pPr>
  </w:style>
  <w:style w:type="character" w:styleId="Emphasis">
    <w:name w:val="Emphasis"/>
    <w:basedOn w:val="DefaultParagraphFont"/>
    <w:uiPriority w:val="20"/>
    <w:qFormat/>
    <w:rsid w:val="002E6048"/>
    <w:rPr>
      <w:rFonts w:ascii="Gotham" w:hAnsi="Gotham"/>
      <w:i/>
      <w:iCs/>
    </w:rPr>
  </w:style>
  <w:style w:type="paragraph" w:customStyle="1" w:styleId="BQletteredbullet">
    <w:name w:val="BQ lettered bullet"/>
    <w:rsid w:val="00406522"/>
    <w:pPr>
      <w:numPr>
        <w:numId w:val="19"/>
      </w:numPr>
      <w:spacing w:before="120" w:after="120"/>
      <w:ind w:hanging="720"/>
    </w:pPr>
    <w:rPr>
      <w:rFonts w:ascii="Calibri Light" w:eastAsiaTheme="minorEastAsia" w:hAnsi="Calibri Light"/>
      <w:lang w:val="en-US"/>
    </w:rPr>
  </w:style>
  <w:style w:type="paragraph" w:styleId="Revision">
    <w:name w:val="Revision"/>
    <w:hidden/>
    <w:uiPriority w:val="99"/>
    <w:semiHidden/>
    <w:rsid w:val="00406522"/>
    <w:pPr>
      <w:spacing w:before="0" w:after="0"/>
    </w:pPr>
    <w:rPr>
      <w:rFonts w:eastAsiaTheme="minorEastAsia"/>
      <w:sz w:val="24"/>
      <w:szCs w:val="24"/>
    </w:rPr>
  </w:style>
  <w:style w:type="paragraph" w:customStyle="1" w:styleId="Contentslistheading1">
    <w:name w:val="Contents list heading 1"/>
    <w:basedOn w:val="BQHeading1"/>
    <w:rsid w:val="00406522"/>
    <w:pPr>
      <w:numPr>
        <w:numId w:val="20"/>
      </w:numPr>
      <w:ind w:left="360"/>
    </w:pPr>
  </w:style>
  <w:style w:type="paragraph" w:customStyle="1" w:styleId="ContentsListHeading2">
    <w:name w:val="Contents List Heading 2"/>
    <w:basedOn w:val="Contentslistheading1"/>
    <w:rsid w:val="00406522"/>
  </w:style>
  <w:style w:type="table" w:styleId="PlainTable1">
    <w:name w:val="Plain Table 1"/>
    <w:basedOn w:val="TableNormal"/>
    <w:uiPriority w:val="41"/>
    <w:rsid w:val="00B502E6"/>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CaptionChar">
    <w:name w:val="Caption Char"/>
    <w:link w:val="Caption"/>
    <w:uiPriority w:val="35"/>
    <w:rsid w:val="007E5711"/>
    <w:rPr>
      <w:b/>
    </w:rPr>
  </w:style>
  <w:style w:type="paragraph" w:customStyle="1" w:styleId="BodyText1">
    <w:name w:val="Body Text1"/>
    <w:basedOn w:val="BodyText"/>
    <w:link w:val="BodytextChar0"/>
    <w:qFormat/>
    <w:rsid w:val="002E6048"/>
    <w:pPr>
      <w:keepLines/>
      <w:spacing w:before="0" w:line="240" w:lineRule="auto"/>
      <w:jc w:val="both"/>
    </w:pPr>
    <w:rPr>
      <w:rFonts w:ascii="Gotham" w:hAnsi="Gotham"/>
      <w:lang w:val="en"/>
    </w:rPr>
  </w:style>
  <w:style w:type="paragraph" w:customStyle="1" w:styleId="Bulletpoints">
    <w:name w:val="Bullet points"/>
    <w:basedOn w:val="BodyText"/>
    <w:rsid w:val="007E5711"/>
    <w:pPr>
      <w:keepLines/>
      <w:numPr>
        <w:numId w:val="21"/>
      </w:numPr>
      <w:spacing w:before="0" w:line="240" w:lineRule="auto"/>
      <w:jc w:val="both"/>
    </w:pPr>
    <w:rPr>
      <w:rFonts w:ascii="Arial" w:hAnsi="Arial" w:cs="Arial"/>
      <w:szCs w:val="22"/>
      <w:lang w:val="en"/>
    </w:rPr>
  </w:style>
  <w:style w:type="character" w:customStyle="1" w:styleId="BodytextChar0">
    <w:name w:val="Body text Char"/>
    <w:basedOn w:val="BodyTextChar"/>
    <w:link w:val="BodyText1"/>
    <w:rsid w:val="002E6048"/>
    <w:rPr>
      <w:rFonts w:ascii="Gotham" w:eastAsia="Times New Roman" w:hAnsi="Gotham" w:cs="Times New Roman"/>
      <w:sz w:val="20"/>
      <w:szCs w:val="24"/>
      <w:lang w:val="en" w:eastAsia="en-AU"/>
    </w:rPr>
  </w:style>
  <w:style w:type="paragraph" w:customStyle="1" w:styleId="NormalHeader">
    <w:name w:val="Normal Header"/>
    <w:basedOn w:val="BodyText"/>
    <w:qFormat/>
    <w:rsid w:val="007E5711"/>
    <w:pPr>
      <w:spacing w:before="0" w:line="240" w:lineRule="auto"/>
    </w:pPr>
    <w:rPr>
      <w:rFonts w:ascii="Arial" w:hAnsi="Arial"/>
      <w:szCs w:val="20"/>
    </w:rPr>
  </w:style>
  <w:style w:type="paragraph" w:customStyle="1" w:styleId="Body">
    <w:name w:val="Body"/>
    <w:rsid w:val="00CC314B"/>
    <w:pPr>
      <w:pBdr>
        <w:top w:val="none" w:sz="96" w:space="31" w:color="FFFFFF" w:shadow="1" w:frame="1"/>
        <w:left w:val="none" w:sz="96" w:space="31" w:color="FFFFFF" w:shadow="1" w:frame="1"/>
        <w:bottom w:val="none" w:sz="96" w:space="31" w:color="FFFFFF" w:shadow="1" w:frame="1"/>
        <w:right w:val="none" w:sz="96" w:space="31" w:color="FFFFFF" w:shadow="1" w:frame="1"/>
      </w:pBdr>
      <w:spacing w:before="0" w:after="0"/>
    </w:pPr>
    <w:rPr>
      <w:rFonts w:ascii="Calibri" w:eastAsia="Times New Roman" w:hAnsi="Calibri" w:cs="Calibri"/>
      <w:color w:val="000000"/>
      <w:u w:color="000000"/>
      <w:lang w:eastAsia="en-AU"/>
    </w:rPr>
  </w:style>
  <w:style w:type="paragraph" w:styleId="NoSpacing">
    <w:name w:val="No Spacing"/>
    <w:uiPriority w:val="1"/>
    <w:qFormat/>
    <w:rsid w:val="00976BDA"/>
    <w:pPr>
      <w:spacing w:before="0" w:after="200" w:line="276" w:lineRule="auto"/>
    </w:pPr>
    <w:rPr>
      <w:rFonts w:ascii="Public Sans" w:hAnsi="Public Sans"/>
      <w:sz w:val="24"/>
      <w:szCs w:val="24"/>
    </w:rPr>
  </w:style>
  <w:style w:type="paragraph" w:customStyle="1" w:styleId="gov-is-numbered-paragraph">
    <w:name w:val="gov-is-numbered-paragraph"/>
    <w:basedOn w:val="Normal"/>
    <w:rsid w:val="004A38A8"/>
    <w:pPr>
      <w:spacing w:before="100" w:beforeAutospacing="1" w:after="100" w:afterAutospacing="1"/>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476729">
      <w:bodyDiv w:val="1"/>
      <w:marLeft w:val="0"/>
      <w:marRight w:val="0"/>
      <w:marTop w:val="0"/>
      <w:marBottom w:val="0"/>
      <w:divBdr>
        <w:top w:val="none" w:sz="0" w:space="0" w:color="auto"/>
        <w:left w:val="none" w:sz="0" w:space="0" w:color="auto"/>
        <w:bottom w:val="none" w:sz="0" w:space="0" w:color="auto"/>
        <w:right w:val="none" w:sz="0" w:space="0" w:color="auto"/>
      </w:divBdr>
      <w:divsChild>
        <w:div w:id="342972692">
          <w:marLeft w:val="0"/>
          <w:marRight w:val="0"/>
          <w:marTop w:val="0"/>
          <w:marBottom w:val="0"/>
          <w:divBdr>
            <w:top w:val="none" w:sz="0" w:space="0" w:color="auto"/>
            <w:left w:val="none" w:sz="0" w:space="0" w:color="auto"/>
            <w:bottom w:val="none" w:sz="0" w:space="0" w:color="auto"/>
            <w:right w:val="none" w:sz="0" w:space="0" w:color="auto"/>
          </w:divBdr>
          <w:divsChild>
            <w:div w:id="679703560">
              <w:marLeft w:val="0"/>
              <w:marRight w:val="0"/>
              <w:marTop w:val="0"/>
              <w:marBottom w:val="0"/>
              <w:divBdr>
                <w:top w:val="none" w:sz="0" w:space="0" w:color="auto"/>
                <w:left w:val="none" w:sz="0" w:space="0" w:color="auto"/>
                <w:bottom w:val="none" w:sz="0" w:space="0" w:color="auto"/>
                <w:right w:val="none" w:sz="0" w:space="0" w:color="auto"/>
              </w:divBdr>
              <w:divsChild>
                <w:div w:id="738940661">
                  <w:marLeft w:val="0"/>
                  <w:marRight w:val="0"/>
                  <w:marTop w:val="0"/>
                  <w:marBottom w:val="0"/>
                  <w:divBdr>
                    <w:top w:val="none" w:sz="0" w:space="0" w:color="auto"/>
                    <w:left w:val="none" w:sz="0" w:space="0" w:color="auto"/>
                    <w:bottom w:val="none" w:sz="0" w:space="0" w:color="auto"/>
                    <w:right w:val="none" w:sz="0" w:space="0" w:color="auto"/>
                  </w:divBdr>
                  <w:divsChild>
                    <w:div w:id="642849715">
                      <w:marLeft w:val="0"/>
                      <w:marRight w:val="0"/>
                      <w:marTop w:val="0"/>
                      <w:marBottom w:val="0"/>
                      <w:divBdr>
                        <w:top w:val="none" w:sz="0" w:space="0" w:color="auto"/>
                        <w:left w:val="none" w:sz="0" w:space="0" w:color="auto"/>
                        <w:bottom w:val="none" w:sz="0" w:space="0" w:color="auto"/>
                        <w:right w:val="none" w:sz="0" w:space="0" w:color="auto"/>
                      </w:divBdr>
                      <w:divsChild>
                        <w:div w:id="43640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8272647">
      <w:bodyDiv w:val="1"/>
      <w:marLeft w:val="0"/>
      <w:marRight w:val="0"/>
      <w:marTop w:val="0"/>
      <w:marBottom w:val="0"/>
      <w:divBdr>
        <w:top w:val="none" w:sz="0" w:space="0" w:color="auto"/>
        <w:left w:val="none" w:sz="0" w:space="0" w:color="auto"/>
        <w:bottom w:val="none" w:sz="0" w:space="0" w:color="auto"/>
        <w:right w:val="none" w:sz="0" w:space="0" w:color="auto"/>
      </w:divBdr>
    </w:div>
    <w:div w:id="750396163">
      <w:bodyDiv w:val="1"/>
      <w:marLeft w:val="0"/>
      <w:marRight w:val="0"/>
      <w:marTop w:val="0"/>
      <w:marBottom w:val="0"/>
      <w:divBdr>
        <w:top w:val="none" w:sz="0" w:space="0" w:color="auto"/>
        <w:left w:val="none" w:sz="0" w:space="0" w:color="auto"/>
        <w:bottom w:val="none" w:sz="0" w:space="0" w:color="auto"/>
        <w:right w:val="none" w:sz="0" w:space="0" w:color="auto"/>
      </w:divBdr>
    </w:div>
    <w:div w:id="1153912038">
      <w:bodyDiv w:val="1"/>
      <w:marLeft w:val="0"/>
      <w:marRight w:val="0"/>
      <w:marTop w:val="0"/>
      <w:marBottom w:val="0"/>
      <w:divBdr>
        <w:top w:val="none" w:sz="0" w:space="0" w:color="auto"/>
        <w:left w:val="none" w:sz="0" w:space="0" w:color="auto"/>
        <w:bottom w:val="none" w:sz="0" w:space="0" w:color="auto"/>
        <w:right w:val="none" w:sz="0" w:space="0" w:color="auto"/>
      </w:divBdr>
    </w:div>
    <w:div w:id="1392073335">
      <w:bodyDiv w:val="1"/>
      <w:marLeft w:val="0"/>
      <w:marRight w:val="0"/>
      <w:marTop w:val="0"/>
      <w:marBottom w:val="0"/>
      <w:divBdr>
        <w:top w:val="none" w:sz="0" w:space="0" w:color="auto"/>
        <w:left w:val="none" w:sz="0" w:space="0" w:color="auto"/>
        <w:bottom w:val="none" w:sz="0" w:space="0" w:color="auto"/>
        <w:right w:val="none" w:sz="0" w:space="0" w:color="auto"/>
      </w:divBdr>
    </w:div>
    <w:div w:id="1598715801">
      <w:bodyDiv w:val="1"/>
      <w:marLeft w:val="0"/>
      <w:marRight w:val="0"/>
      <w:marTop w:val="0"/>
      <w:marBottom w:val="0"/>
      <w:divBdr>
        <w:top w:val="none" w:sz="0" w:space="0" w:color="auto"/>
        <w:left w:val="none" w:sz="0" w:space="0" w:color="auto"/>
        <w:bottom w:val="none" w:sz="0" w:space="0" w:color="auto"/>
        <w:right w:val="none" w:sz="0" w:space="0" w:color="auto"/>
      </w:divBdr>
    </w:div>
    <w:div w:id="1788111852">
      <w:bodyDiv w:val="1"/>
      <w:marLeft w:val="0"/>
      <w:marRight w:val="0"/>
      <w:marTop w:val="0"/>
      <w:marBottom w:val="0"/>
      <w:divBdr>
        <w:top w:val="none" w:sz="0" w:space="0" w:color="auto"/>
        <w:left w:val="none" w:sz="0" w:space="0" w:color="auto"/>
        <w:bottom w:val="none" w:sz="0" w:space="0" w:color="auto"/>
        <w:right w:val="none" w:sz="0" w:space="0" w:color="auto"/>
      </w:divBdr>
    </w:div>
    <w:div w:id="1884294391">
      <w:bodyDiv w:val="1"/>
      <w:marLeft w:val="0"/>
      <w:marRight w:val="0"/>
      <w:marTop w:val="0"/>
      <w:marBottom w:val="0"/>
      <w:divBdr>
        <w:top w:val="none" w:sz="0" w:space="0" w:color="auto"/>
        <w:left w:val="none" w:sz="0" w:space="0" w:color="auto"/>
        <w:bottom w:val="none" w:sz="0" w:space="0" w:color="auto"/>
        <w:right w:val="none" w:sz="0" w:space="0" w:color="auto"/>
      </w:divBdr>
    </w:div>
    <w:div w:id="1923223084">
      <w:bodyDiv w:val="1"/>
      <w:marLeft w:val="0"/>
      <w:marRight w:val="0"/>
      <w:marTop w:val="0"/>
      <w:marBottom w:val="0"/>
      <w:divBdr>
        <w:top w:val="none" w:sz="0" w:space="0" w:color="auto"/>
        <w:left w:val="none" w:sz="0" w:space="0" w:color="auto"/>
        <w:bottom w:val="none" w:sz="0" w:space="0" w:color="auto"/>
        <w:right w:val="none" w:sz="0" w:space="0" w:color="auto"/>
      </w:divBdr>
    </w:div>
    <w:div w:id="1956865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legislation.nsw.gov.au/view/html/inforce/current/act-2007-008"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ageingdisabilitycommission.nsw.gov.au/tools-and-resources/dashboard-data.html" TargetMode="Externa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geingdisabilitycommission.nsw.gov.au/reports-and-submissions.htm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herine.McAulay\AppData\Local\Microsoft\Windows\INetCache\IE\V8SOBII8\1%20DBC%20Governance%20Chapter.dotx"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14042"/>
      </a:dk2>
      <a:lt2>
        <a:srgbClr val="F1F2F2"/>
      </a:lt2>
      <a:accent1>
        <a:srgbClr val="324851"/>
      </a:accent1>
      <a:accent2>
        <a:srgbClr val="414042"/>
      </a:accent2>
      <a:accent3>
        <a:srgbClr val="122872"/>
      </a:accent3>
      <a:accent4>
        <a:srgbClr val="2BDCF5"/>
      </a:accent4>
      <a:accent5>
        <a:srgbClr val="86E641"/>
      </a:accent5>
      <a:accent6>
        <a:srgbClr val="D5D6D8"/>
      </a:accent6>
      <a:hlink>
        <a:srgbClr val="324851"/>
      </a:hlink>
      <a:folHlink>
        <a:srgbClr val="324851"/>
      </a:folHlink>
    </a:clrScheme>
    <a:fontScheme name="Calibri Light">
      <a:majorFont>
        <a:latin typeface="Calibri Light"/>
        <a:ea typeface=""/>
        <a:cs typeface=""/>
      </a:majorFont>
      <a:minorFont>
        <a:latin typeface="Calibri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noFill/>
        <a:ln w="9525">
          <a:noFill/>
          <a:miter lim="800000"/>
          <a:headEnd/>
          <a:tailEnd/>
        </a:ln>
      </a:spPr>
      <a:bodyPr rot="0" vert="horz" wrap="square" lIns="91440" tIns="45720" rIns="91440" bIns="45720" anchor="b"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C82B57C00F6BB44933CB7C526F225E6" ma:contentTypeVersion="5" ma:contentTypeDescription="Create a new document." ma:contentTypeScope="" ma:versionID="0ee2c39fc4324950c80a453b4822b7c3">
  <xsd:schema xmlns:xsd="http://www.w3.org/2001/XMLSchema" xmlns:xs="http://www.w3.org/2001/XMLSchema" xmlns:p="http://schemas.microsoft.com/office/2006/metadata/properties" xmlns:ns2="6a96e1dc-975a-422b-9d7a-8853a4bcd9ca" targetNamespace="http://schemas.microsoft.com/office/2006/metadata/properties" ma:root="true" ma:fieldsID="7637244c1ca02dca148c0ad1aa00db97" ns2:_="">
    <xsd:import namespace="6a96e1dc-975a-422b-9d7a-8853a4bcd9c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96e1dc-975a-422b-9d7a-8853a4bcd9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31C75B-8691-46E7-B1B9-510175D36464}">
  <ds:schemaRefs>
    <ds:schemaRef ds:uri="http://purl.org/dc/terms/"/>
    <ds:schemaRef ds:uri="http://schemas.openxmlformats.org/package/2006/metadata/core-properties"/>
    <ds:schemaRef ds:uri="http://purl.org/dc/dcmitype/"/>
    <ds:schemaRef ds:uri="http://purl.org/dc/elements/1.1/"/>
    <ds:schemaRef ds:uri="http://schemas.microsoft.com/office/2006/metadata/properties"/>
    <ds:schemaRef ds:uri="http://schemas.microsoft.com/office/2006/documentManagement/types"/>
    <ds:schemaRef ds:uri="http://schemas.microsoft.com/office/infopath/2007/PartnerControls"/>
    <ds:schemaRef ds:uri="6a96e1dc-975a-422b-9d7a-8853a4bcd9ca"/>
    <ds:schemaRef ds:uri="http://www.w3.org/XML/1998/namespace"/>
  </ds:schemaRefs>
</ds:datastoreItem>
</file>

<file path=customXml/itemProps2.xml><?xml version="1.0" encoding="utf-8"?>
<ds:datastoreItem xmlns:ds="http://schemas.openxmlformats.org/officeDocument/2006/customXml" ds:itemID="{CB8F7C56-D7DA-4386-B50F-352E82F042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96e1dc-975a-422b-9d7a-8853a4bcd9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2056C9-95FD-480E-AA69-1B7972A1458D}">
  <ds:schemaRefs>
    <ds:schemaRef ds:uri="http://schemas.microsoft.com/sharepoint/v3/contenttype/forms"/>
  </ds:schemaRefs>
</ds:datastoreItem>
</file>

<file path=customXml/itemProps4.xml><?xml version="1.0" encoding="utf-8"?>
<ds:datastoreItem xmlns:ds="http://schemas.openxmlformats.org/officeDocument/2006/customXml" ds:itemID="{5E5764C8-C30B-4123-8C83-80655F40B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DBC Governance Chapter</Template>
  <TotalTime>1925</TotalTime>
  <Pages>15</Pages>
  <Words>7171</Words>
  <Characters>40876</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Building Queensland</Company>
  <LinksUpToDate>false</LinksUpToDate>
  <CharactersWithSpaces>47952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INSERT HEADER HERE</dc:subject>
  <dc:creator>Renee Kastanias</dc:creator>
  <cp:lastModifiedBy>Kathryn McKenzie</cp:lastModifiedBy>
  <cp:revision>190</cp:revision>
  <cp:lastPrinted>2022-12-13T07:53:00Z</cp:lastPrinted>
  <dcterms:created xsi:type="dcterms:W3CDTF">2022-12-04T05:32:00Z</dcterms:created>
  <dcterms:modified xsi:type="dcterms:W3CDTF">2022-12-15T00:28:00Z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0x010100AC82B57C00F6BB44933CB7C526F225E6</vt:lpwstr>
  </property>
</Properties>
</file>