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0779C" w14:textId="77777777" w:rsidR="009B4615" w:rsidRPr="003D5ADD" w:rsidRDefault="009B4615" w:rsidP="009B4615">
      <w:pPr>
        <w:pStyle w:val="SectionTitle"/>
        <w:pageBreakBefore w:val="0"/>
        <w:widowControl w:val="0"/>
        <w:spacing w:before="0" w:after="0"/>
        <w:rPr>
          <w:rFonts w:ascii="Public Sans" w:hAnsi="Public Sans"/>
          <w:color w:val="002060"/>
        </w:rPr>
      </w:pPr>
    </w:p>
    <w:p w14:paraId="0767993C" w14:textId="77777777" w:rsidR="009B4615" w:rsidRPr="003D5ADD" w:rsidRDefault="009B4615" w:rsidP="009B4615">
      <w:pPr>
        <w:pStyle w:val="SectionTitle"/>
        <w:pageBreakBefore w:val="0"/>
        <w:widowControl w:val="0"/>
        <w:spacing w:before="0" w:after="0"/>
        <w:rPr>
          <w:rFonts w:ascii="Public Sans" w:hAnsi="Public Sans"/>
          <w:color w:val="002060"/>
        </w:rPr>
      </w:pPr>
    </w:p>
    <w:p w14:paraId="394ECBF6" w14:textId="02796D6D" w:rsidR="00C828D7" w:rsidRPr="009826AD" w:rsidRDefault="00DF20CA" w:rsidP="009B4615">
      <w:pPr>
        <w:pStyle w:val="SectionTitle"/>
        <w:pageBreakBefore w:val="0"/>
        <w:widowControl w:val="0"/>
        <w:spacing w:before="0" w:after="0"/>
        <w:rPr>
          <w:rFonts w:ascii="Public Sans" w:hAnsi="Public Sans"/>
          <w:b/>
          <w:color w:val="002060"/>
        </w:rPr>
      </w:pPr>
      <w:r w:rsidRPr="009826AD">
        <w:rPr>
          <w:rFonts w:ascii="Public Sans" w:hAnsi="Public Sans"/>
          <w:b/>
          <w:color w:val="002060"/>
        </w:rPr>
        <w:t xml:space="preserve">NSW </w:t>
      </w:r>
      <w:r w:rsidR="002E6048" w:rsidRPr="009826AD">
        <w:rPr>
          <w:rFonts w:ascii="Public Sans" w:hAnsi="Public Sans"/>
          <w:b/>
          <w:color w:val="002060"/>
        </w:rPr>
        <w:t>Ageing and disability commission</w:t>
      </w:r>
      <w:r w:rsidR="00C828D7" w:rsidRPr="009826AD">
        <w:rPr>
          <w:rFonts w:ascii="Public Sans" w:hAnsi="Public Sans"/>
          <w:b/>
          <w:color w:val="002060"/>
        </w:rPr>
        <w:t xml:space="preserve"> </w:t>
      </w:r>
    </w:p>
    <w:p w14:paraId="69257356" w14:textId="77777777" w:rsidR="00617A74" w:rsidRPr="009826AD" w:rsidRDefault="00617A74" w:rsidP="009B4615">
      <w:pPr>
        <w:widowControl w:val="0"/>
        <w:rPr>
          <w:rStyle w:val="ChapterSubheading"/>
          <w:rFonts w:ascii="Public Sans" w:hAnsi="Public Sans"/>
          <w:b/>
          <w:color w:val="002060"/>
        </w:rPr>
      </w:pPr>
    </w:p>
    <w:p w14:paraId="3F418BB5" w14:textId="03652CBA" w:rsidR="009826AD" w:rsidRPr="009826AD" w:rsidRDefault="00122180" w:rsidP="009B4615">
      <w:pPr>
        <w:widowControl w:val="0"/>
        <w:rPr>
          <w:rStyle w:val="ChapterSubheading"/>
          <w:rFonts w:ascii="Public Sans" w:hAnsi="Public Sans"/>
          <w:b/>
          <w:color w:val="002060"/>
        </w:rPr>
      </w:pPr>
      <w:r w:rsidRPr="009826AD">
        <w:rPr>
          <w:rStyle w:val="ChapterSubheading"/>
          <w:rFonts w:ascii="Public Sans" w:hAnsi="Public Sans"/>
          <w:b/>
          <w:color w:val="002060"/>
        </w:rPr>
        <w:t xml:space="preserve">submission to the </w:t>
      </w:r>
      <w:r w:rsidR="003C35B2">
        <w:rPr>
          <w:rStyle w:val="ChapterSubheading"/>
          <w:rFonts w:ascii="Public Sans" w:hAnsi="Public Sans"/>
          <w:b/>
          <w:color w:val="002060"/>
        </w:rPr>
        <w:t>CONSULTATION ON ACHIEVING GREATER CONSISTENCY IN LAWS FOR FINANCIAL ENDURING POWERS OF ATTORNEY</w:t>
      </w:r>
      <w:r w:rsidR="009826AD" w:rsidRPr="009826AD">
        <w:rPr>
          <w:rStyle w:val="ChapterSubheading"/>
          <w:rFonts w:ascii="Public Sans" w:hAnsi="Public Sans"/>
          <w:b/>
          <w:color w:val="002060"/>
        </w:rPr>
        <w:t xml:space="preserve">  </w:t>
      </w:r>
    </w:p>
    <w:p w14:paraId="2CC51919" w14:textId="77777777" w:rsidR="009826AD" w:rsidRDefault="009826AD" w:rsidP="009B4615">
      <w:pPr>
        <w:widowControl w:val="0"/>
        <w:rPr>
          <w:rStyle w:val="ChapterSubheading"/>
          <w:rFonts w:ascii="Public Sans" w:hAnsi="Public Sans"/>
          <w:color w:val="002060"/>
        </w:rPr>
      </w:pPr>
    </w:p>
    <w:p w14:paraId="7E74D0A1" w14:textId="2C6E53D7" w:rsidR="002E6048" w:rsidRPr="003D5ADD" w:rsidRDefault="002E6048" w:rsidP="009B4615">
      <w:pPr>
        <w:widowControl w:val="0"/>
        <w:rPr>
          <w:rFonts w:ascii="Public Sans" w:hAnsi="Public Sans"/>
          <w:color w:val="002060"/>
          <w:sz w:val="28"/>
          <w:szCs w:val="28"/>
          <w:lang w:eastAsia="en-AU"/>
        </w:rPr>
      </w:pPr>
    </w:p>
    <w:p w14:paraId="1F931CB1" w14:textId="69C0625D" w:rsidR="009B4615" w:rsidRPr="003D5ADD" w:rsidRDefault="009B4615" w:rsidP="009B4615">
      <w:pPr>
        <w:widowControl w:val="0"/>
        <w:rPr>
          <w:rFonts w:ascii="Public Sans" w:hAnsi="Public Sans"/>
          <w:color w:val="002060"/>
          <w:sz w:val="28"/>
          <w:szCs w:val="28"/>
          <w:lang w:eastAsia="en-AU"/>
        </w:rPr>
      </w:pPr>
    </w:p>
    <w:p w14:paraId="148A8ADA" w14:textId="77777777" w:rsidR="009B4615" w:rsidRPr="003D5ADD" w:rsidRDefault="009B4615" w:rsidP="009B4615">
      <w:pPr>
        <w:widowControl w:val="0"/>
        <w:rPr>
          <w:rFonts w:ascii="Public Sans" w:hAnsi="Public Sans"/>
          <w:color w:val="002060"/>
          <w:sz w:val="28"/>
          <w:szCs w:val="28"/>
          <w:lang w:eastAsia="en-AU"/>
        </w:rPr>
      </w:pPr>
    </w:p>
    <w:p w14:paraId="62749BB5" w14:textId="54EE2AAD" w:rsidR="002B5DB1" w:rsidRPr="003D5ADD" w:rsidRDefault="003C35B2" w:rsidP="009B4615">
      <w:pPr>
        <w:widowControl w:val="0"/>
        <w:rPr>
          <w:rFonts w:ascii="Public Sans" w:hAnsi="Public Sans"/>
          <w:color w:val="002060"/>
          <w:sz w:val="28"/>
          <w:szCs w:val="28"/>
          <w:lang w:eastAsia="en-AU"/>
        </w:rPr>
      </w:pPr>
      <w:r>
        <w:rPr>
          <w:rFonts w:ascii="Public Sans" w:hAnsi="Public Sans"/>
          <w:color w:val="002060"/>
          <w:sz w:val="28"/>
          <w:szCs w:val="28"/>
          <w:lang w:eastAsia="en-AU"/>
        </w:rPr>
        <w:t>NOVEMBER</w:t>
      </w:r>
      <w:r w:rsidR="00AA0C5E" w:rsidRPr="003D5ADD">
        <w:rPr>
          <w:rFonts w:ascii="Public Sans" w:hAnsi="Public Sans"/>
          <w:color w:val="002060"/>
          <w:sz w:val="28"/>
          <w:szCs w:val="28"/>
          <w:lang w:eastAsia="en-AU"/>
        </w:rPr>
        <w:t xml:space="preserve"> 2023 </w:t>
      </w:r>
    </w:p>
    <w:p w14:paraId="2E866C43" w14:textId="77777777" w:rsidR="00C828D7" w:rsidRPr="003D5ADD" w:rsidRDefault="00C828D7" w:rsidP="009B4615">
      <w:pPr>
        <w:pStyle w:val="Chaptertext"/>
        <w:widowControl w:val="0"/>
        <w:spacing w:before="0" w:after="0" w:line="240" w:lineRule="auto"/>
        <w:rPr>
          <w:rFonts w:ascii="Public Sans" w:hAnsi="Public Sans"/>
          <w:color w:val="002060"/>
        </w:rPr>
      </w:pPr>
    </w:p>
    <w:p w14:paraId="75F40354" w14:textId="77777777" w:rsidR="003D4A27" w:rsidRPr="003D5ADD" w:rsidRDefault="003D4A27" w:rsidP="009B4615">
      <w:pPr>
        <w:pStyle w:val="TOCHeading"/>
        <w:keepNext w:val="0"/>
        <w:keepLines w:val="0"/>
        <w:spacing w:before="0" w:after="0"/>
        <w:rPr>
          <w:rFonts w:ascii="Public Sans" w:hAnsi="Public Sans"/>
          <w:color w:val="002060"/>
        </w:rPr>
      </w:pPr>
    </w:p>
    <w:p w14:paraId="2D30A82D" w14:textId="77777777" w:rsidR="000951C1" w:rsidRPr="003D5ADD" w:rsidRDefault="002E6048" w:rsidP="009B4615">
      <w:pPr>
        <w:widowControl w:val="0"/>
        <w:rPr>
          <w:rFonts w:ascii="Public Sans" w:hAnsi="Public Sans"/>
          <w:color w:val="002060"/>
          <w:lang w:eastAsia="en-AU"/>
        </w:rPr>
        <w:sectPr w:rsidR="000951C1" w:rsidRPr="003D5ADD" w:rsidSect="009B4615">
          <w:headerReference w:type="even" r:id="rId11"/>
          <w:headerReference w:type="default" r:id="rId12"/>
          <w:footerReference w:type="default" r:id="rId13"/>
          <w:headerReference w:type="first" r:id="rId14"/>
          <w:footerReference w:type="first" r:id="rId15"/>
          <w:pgSz w:w="11906" w:h="16838" w:code="9"/>
          <w:pgMar w:top="1134" w:right="1304" w:bottom="964" w:left="1304" w:header="567" w:footer="567" w:gutter="0"/>
          <w:pgNumType w:start="0"/>
          <w:cols w:space="708"/>
          <w:docGrid w:linePitch="360"/>
        </w:sectPr>
      </w:pPr>
      <w:r w:rsidRPr="003D5ADD">
        <w:rPr>
          <w:rFonts w:ascii="Public Sans" w:hAnsi="Public Sans"/>
          <w:color w:val="002060"/>
          <w:lang w:eastAsia="en-AU"/>
        </w:rPr>
        <w:softHyphen/>
      </w:r>
      <w:r w:rsidRPr="003D5ADD">
        <w:rPr>
          <w:rFonts w:ascii="Public Sans" w:hAnsi="Public Sans"/>
          <w:color w:val="002060"/>
          <w:lang w:eastAsia="en-AU"/>
        </w:rPr>
        <w:softHyphen/>
      </w:r>
    </w:p>
    <w:p w14:paraId="3EB08729" w14:textId="79B39B9A" w:rsidR="00406522" w:rsidRPr="005B1901" w:rsidRDefault="00122180" w:rsidP="005607AE">
      <w:pPr>
        <w:pStyle w:val="Heading2"/>
        <w:keepNext w:val="0"/>
        <w:keepLines w:val="0"/>
        <w:widowControl w:val="0"/>
        <w:spacing w:before="0" w:after="200"/>
        <w:rPr>
          <w:rFonts w:ascii="Public Sans" w:hAnsi="Public Sans"/>
          <w:bCs w:val="0"/>
          <w:color w:val="002060"/>
          <w:sz w:val="32"/>
        </w:rPr>
      </w:pPr>
      <w:bookmarkStart w:id="0" w:name="_Toc434940756"/>
      <w:r w:rsidRPr="005B1901">
        <w:rPr>
          <w:rFonts w:ascii="Public Sans" w:hAnsi="Public Sans"/>
          <w:bCs w:val="0"/>
          <w:color w:val="002060"/>
          <w:sz w:val="32"/>
        </w:rPr>
        <w:lastRenderedPageBreak/>
        <w:t xml:space="preserve">Background </w:t>
      </w:r>
      <w:r w:rsidR="00EE04E5" w:rsidRPr="005B1901">
        <w:rPr>
          <w:rFonts w:ascii="Public Sans" w:hAnsi="Public Sans"/>
          <w:bCs w:val="0"/>
          <w:color w:val="002060"/>
          <w:sz w:val="32"/>
        </w:rPr>
        <w:t>and focus of our submission</w:t>
      </w:r>
    </w:p>
    <w:p w14:paraId="788244C4" w14:textId="77777777" w:rsidR="00CE295A" w:rsidRDefault="009556BB" w:rsidP="009B4615">
      <w:pPr>
        <w:widowControl w:val="0"/>
        <w:rPr>
          <w:rFonts w:ascii="Public Sans" w:eastAsia="Times New Roman" w:hAnsi="Public Sans" w:cs="Arial"/>
          <w:color w:val="000000"/>
          <w:sz w:val="22"/>
          <w:u w:color="000000"/>
          <w:lang w:eastAsia="en-AU"/>
        </w:rPr>
      </w:pPr>
      <w:bookmarkStart w:id="1" w:name="_Toc434940753"/>
      <w:bookmarkStart w:id="2" w:name="_Toc468872338"/>
      <w:r w:rsidRPr="003D5ADD">
        <w:rPr>
          <w:rFonts w:ascii="Public Sans" w:eastAsia="Times New Roman" w:hAnsi="Public Sans" w:cs="Arial"/>
          <w:color w:val="000000"/>
          <w:sz w:val="22"/>
          <w:u w:color="000000"/>
          <w:lang w:eastAsia="en-AU"/>
        </w:rPr>
        <w:t xml:space="preserve">The NSW Ageing and Disability Commission (ADC) </w:t>
      </w:r>
      <w:r w:rsidR="00617A74" w:rsidRPr="003D5ADD">
        <w:rPr>
          <w:rFonts w:ascii="Public Sans" w:eastAsia="Times New Roman" w:hAnsi="Public Sans" w:cs="Arial"/>
          <w:color w:val="000000"/>
          <w:sz w:val="22"/>
          <w:u w:color="000000"/>
          <w:lang w:eastAsia="en-AU"/>
        </w:rPr>
        <w:t xml:space="preserve">was established </w:t>
      </w:r>
      <w:r w:rsidRPr="003D5ADD">
        <w:rPr>
          <w:rFonts w:ascii="Public Sans" w:eastAsia="Times New Roman" w:hAnsi="Public Sans" w:cs="Arial"/>
          <w:color w:val="000000"/>
          <w:sz w:val="22"/>
          <w:u w:color="000000"/>
          <w:lang w:eastAsia="en-AU"/>
        </w:rPr>
        <w:t>on 1 July 2019</w:t>
      </w:r>
      <w:r w:rsidR="00617A74" w:rsidRPr="003D5ADD">
        <w:rPr>
          <w:rFonts w:ascii="Public Sans" w:eastAsia="Times New Roman" w:hAnsi="Public Sans" w:cs="Arial"/>
          <w:color w:val="000000"/>
          <w:sz w:val="22"/>
          <w:u w:color="000000"/>
          <w:lang w:eastAsia="en-AU"/>
        </w:rPr>
        <w:t>, with t</w:t>
      </w:r>
      <w:r w:rsidRPr="003D5ADD">
        <w:rPr>
          <w:rFonts w:ascii="Public Sans" w:eastAsia="Times New Roman" w:hAnsi="Public Sans" w:cs="Arial"/>
          <w:color w:val="000000"/>
          <w:sz w:val="22"/>
          <w:u w:color="000000"/>
          <w:lang w:eastAsia="en-AU"/>
        </w:rPr>
        <w:t xml:space="preserve">he </w:t>
      </w:r>
      <w:r w:rsidR="00617A74" w:rsidRPr="003D5ADD">
        <w:rPr>
          <w:rFonts w:ascii="Public Sans" w:eastAsia="Times New Roman" w:hAnsi="Public Sans" w:cs="Arial"/>
          <w:color w:val="000000"/>
          <w:sz w:val="22"/>
          <w:u w:color="000000"/>
          <w:lang w:eastAsia="en-AU"/>
        </w:rPr>
        <w:t>objectives</w:t>
      </w:r>
      <w:r w:rsidRPr="003D5ADD">
        <w:rPr>
          <w:rFonts w:ascii="Public Sans" w:eastAsia="Times New Roman" w:hAnsi="Public Sans" w:cs="Arial"/>
          <w:color w:val="000000"/>
          <w:sz w:val="22"/>
          <w:u w:color="000000"/>
          <w:lang w:eastAsia="en-AU"/>
        </w:rPr>
        <w:t xml:space="preserve"> o</w:t>
      </w:r>
      <w:r w:rsidR="00617A74" w:rsidRPr="003D5ADD">
        <w:rPr>
          <w:rFonts w:ascii="Public Sans" w:eastAsia="Times New Roman" w:hAnsi="Public Sans" w:cs="Arial"/>
          <w:color w:val="000000"/>
          <w:sz w:val="22"/>
          <w:u w:color="000000"/>
          <w:lang w:eastAsia="en-AU"/>
        </w:rPr>
        <w:t>f</w:t>
      </w:r>
      <w:r w:rsidRPr="003D5ADD">
        <w:rPr>
          <w:rFonts w:ascii="Public Sans" w:eastAsia="Times New Roman" w:hAnsi="Public Sans" w:cs="Arial"/>
          <w:color w:val="000000"/>
          <w:sz w:val="22"/>
          <w:u w:color="000000"/>
          <w:lang w:eastAsia="en-AU"/>
        </w:rPr>
        <w:t xml:space="preserve"> protecting </w:t>
      </w:r>
      <w:r w:rsidR="00CE295A">
        <w:rPr>
          <w:rFonts w:ascii="Public Sans" w:eastAsia="Times New Roman" w:hAnsi="Public Sans" w:cs="Arial"/>
          <w:color w:val="000000"/>
          <w:sz w:val="22"/>
          <w:u w:color="000000"/>
          <w:lang w:eastAsia="en-AU"/>
        </w:rPr>
        <w:t xml:space="preserve">older people and </w:t>
      </w:r>
      <w:r w:rsidRPr="003D5ADD">
        <w:rPr>
          <w:rFonts w:ascii="Public Sans" w:eastAsia="Times New Roman" w:hAnsi="Public Sans" w:cs="Arial"/>
          <w:color w:val="000000"/>
          <w:sz w:val="22"/>
          <w:u w:color="000000"/>
          <w:lang w:eastAsia="en-AU"/>
        </w:rPr>
        <w:t xml:space="preserve">adults with disability from abuse, neglect and exploitation, and protecting and promoting their rights. </w:t>
      </w:r>
    </w:p>
    <w:p w14:paraId="4B7D9E49" w14:textId="77777777" w:rsidR="00CE295A" w:rsidRDefault="00CE295A" w:rsidP="009B4615">
      <w:pPr>
        <w:widowControl w:val="0"/>
        <w:rPr>
          <w:rFonts w:ascii="Public Sans" w:eastAsia="Times New Roman" w:hAnsi="Public Sans" w:cs="Arial"/>
          <w:color w:val="000000"/>
          <w:sz w:val="22"/>
          <w:u w:color="000000"/>
          <w:lang w:eastAsia="en-AU"/>
        </w:rPr>
      </w:pPr>
    </w:p>
    <w:bookmarkEnd w:id="0"/>
    <w:bookmarkEnd w:id="1"/>
    <w:bookmarkEnd w:id="2"/>
    <w:p w14:paraId="2249D3C6" w14:textId="147F6973" w:rsidR="00CE295A" w:rsidRPr="000C1631" w:rsidRDefault="00CE295A" w:rsidP="00CE295A">
      <w:pPr>
        <w:rPr>
          <w:rFonts w:ascii="Public Sans" w:eastAsia="Times New Roman" w:hAnsi="Public Sans" w:cs="Times New Roman"/>
          <w:sz w:val="22"/>
          <w:lang w:eastAsia="en-GB"/>
        </w:rPr>
      </w:pPr>
      <w:r w:rsidRPr="000C1631">
        <w:rPr>
          <w:rFonts w:ascii="Public Sans" w:eastAsia="Times New Roman" w:hAnsi="Public Sans" w:cs="Arial"/>
          <w:color w:val="000000"/>
          <w:sz w:val="22"/>
          <w:lang w:eastAsia="en-GB"/>
        </w:rPr>
        <w:t xml:space="preserve">A key role of the ADC is to respond to reports about older people </w:t>
      </w:r>
      <w:r>
        <w:rPr>
          <w:rFonts w:ascii="Public Sans" w:eastAsia="Times New Roman" w:hAnsi="Public Sans" w:cs="Arial"/>
          <w:color w:val="000000"/>
          <w:sz w:val="22"/>
          <w:lang w:eastAsia="en-GB"/>
        </w:rPr>
        <w:t xml:space="preserve">(65 years and over or, if Aboriginal and/or Torres Strait Islander, 50 years and over) and adults with disability (18 years and over) </w:t>
      </w:r>
      <w:r w:rsidRPr="000C1631">
        <w:rPr>
          <w:rFonts w:ascii="Public Sans" w:eastAsia="Times New Roman" w:hAnsi="Public Sans" w:cs="Arial"/>
          <w:color w:val="000000"/>
          <w:sz w:val="22"/>
          <w:lang w:eastAsia="en-GB"/>
        </w:rPr>
        <w:t>in NSW who are subject to, or at risk of, abuse, neglect and exploitation in their family, home and community, including by providing advice, making referrals, and conducting investigations.</w:t>
      </w:r>
    </w:p>
    <w:p w14:paraId="054E20B6" w14:textId="77777777" w:rsidR="00CE295A" w:rsidRPr="000C1631" w:rsidRDefault="00CE295A" w:rsidP="00CE295A">
      <w:pPr>
        <w:rPr>
          <w:rFonts w:ascii="Public Sans" w:eastAsia="Times New Roman" w:hAnsi="Public Sans" w:cs="Times New Roman"/>
          <w:sz w:val="22"/>
          <w:lang w:eastAsia="en-GB"/>
        </w:rPr>
      </w:pPr>
      <w:r w:rsidRPr="000C1631">
        <w:rPr>
          <w:rFonts w:ascii="Public Sans" w:eastAsia="Times New Roman" w:hAnsi="Public Sans" w:cs="Arial"/>
          <w:color w:val="000000"/>
          <w:sz w:val="22"/>
          <w:lang w:eastAsia="en-GB"/>
        </w:rPr>
        <w:t> </w:t>
      </w:r>
    </w:p>
    <w:p w14:paraId="62271D81" w14:textId="2DA013DC" w:rsidR="00DD6B7F" w:rsidRDefault="00CE295A" w:rsidP="00CE295A">
      <w:pPr>
        <w:rPr>
          <w:rFonts w:ascii="Public Sans" w:eastAsia="Times New Roman" w:hAnsi="Public Sans" w:cs="Arial"/>
          <w:color w:val="000000"/>
          <w:sz w:val="22"/>
          <w:lang w:eastAsia="en-GB"/>
        </w:rPr>
      </w:pPr>
      <w:r w:rsidRPr="000C1631">
        <w:rPr>
          <w:rFonts w:ascii="Public Sans" w:eastAsia="Times New Roman" w:hAnsi="Public Sans" w:cs="Arial"/>
          <w:color w:val="000000"/>
          <w:sz w:val="22"/>
          <w:lang w:eastAsia="en-GB"/>
        </w:rPr>
        <w:t xml:space="preserve">The submission of the ADC has been informed by our handling of reports about older </w:t>
      </w:r>
      <w:r w:rsidR="00DD6B7F">
        <w:rPr>
          <w:rFonts w:ascii="Public Sans" w:eastAsia="Times New Roman" w:hAnsi="Public Sans" w:cs="Arial"/>
          <w:color w:val="000000"/>
          <w:sz w:val="22"/>
          <w:lang w:eastAsia="en-GB"/>
        </w:rPr>
        <w:t>people and adults with disability</w:t>
      </w:r>
      <w:r w:rsidRPr="000C1631">
        <w:rPr>
          <w:rFonts w:ascii="Public Sans" w:eastAsia="Times New Roman" w:hAnsi="Public Sans" w:cs="Arial"/>
          <w:color w:val="000000"/>
          <w:sz w:val="22"/>
          <w:lang w:eastAsia="en-GB"/>
        </w:rPr>
        <w:t xml:space="preserve">. </w:t>
      </w:r>
      <w:r w:rsidR="007C3E8F">
        <w:rPr>
          <w:rFonts w:ascii="Public Sans" w:eastAsia="Times New Roman" w:hAnsi="Public Sans" w:cs="Arial"/>
          <w:color w:val="000000"/>
          <w:sz w:val="22"/>
          <w:lang w:eastAsia="en-GB"/>
        </w:rPr>
        <w:t>Guided by this experience, the focus of our submission is on strengthening the laws and processes in relation to Enduring Powers of Attorney (EPOA) without making the requirements so onerous that they deter p</w:t>
      </w:r>
      <w:r w:rsidR="00F5691E">
        <w:rPr>
          <w:rFonts w:ascii="Public Sans" w:eastAsia="Times New Roman" w:hAnsi="Public Sans" w:cs="Arial"/>
          <w:color w:val="000000"/>
          <w:sz w:val="22"/>
          <w:lang w:eastAsia="en-GB"/>
        </w:rPr>
        <w:t>arties</w:t>
      </w:r>
      <w:r w:rsidR="007C3E8F">
        <w:rPr>
          <w:rFonts w:ascii="Public Sans" w:eastAsia="Times New Roman" w:hAnsi="Public Sans" w:cs="Arial"/>
          <w:color w:val="000000"/>
          <w:sz w:val="22"/>
          <w:lang w:eastAsia="en-GB"/>
        </w:rPr>
        <w:t xml:space="preserve"> from taking up this option. </w:t>
      </w:r>
    </w:p>
    <w:p w14:paraId="4B96F7CE" w14:textId="79AD6D87" w:rsidR="00EE04E5" w:rsidRDefault="00EE04E5" w:rsidP="00CE295A">
      <w:pPr>
        <w:rPr>
          <w:rFonts w:ascii="Public Sans" w:eastAsia="Times New Roman" w:hAnsi="Public Sans" w:cs="Arial"/>
          <w:color w:val="000000"/>
          <w:sz w:val="22"/>
          <w:lang w:eastAsia="en-GB"/>
        </w:rPr>
      </w:pPr>
    </w:p>
    <w:p w14:paraId="49DF64AE" w14:textId="74AE4175" w:rsidR="00DD6B7F" w:rsidRPr="00E238FA" w:rsidRDefault="00DD6B7F" w:rsidP="00932F1C">
      <w:pPr>
        <w:pStyle w:val="Heading3"/>
        <w:spacing w:before="0" w:after="200"/>
        <w:rPr>
          <w:rFonts w:ascii="Public Sans" w:hAnsi="Public Sans"/>
          <w:b/>
          <w:bCs w:val="0"/>
          <w:color w:val="002060"/>
          <w:sz w:val="24"/>
        </w:rPr>
      </w:pPr>
      <w:r w:rsidRPr="00E238FA">
        <w:rPr>
          <w:rFonts w:ascii="Public Sans" w:hAnsi="Public Sans"/>
          <w:b/>
          <w:bCs w:val="0"/>
          <w:color w:val="002060"/>
          <w:sz w:val="24"/>
        </w:rPr>
        <w:t>Brief data snapshot</w:t>
      </w:r>
    </w:p>
    <w:p w14:paraId="3B2F4F7A" w14:textId="0ADC1734" w:rsidR="006D1E49" w:rsidRPr="00932F1C" w:rsidRDefault="00274C54" w:rsidP="006D1E49">
      <w:pPr>
        <w:widowControl w:val="0"/>
        <w:rPr>
          <w:rFonts w:ascii="Public Sans" w:eastAsia="Times New Roman" w:hAnsi="Public Sans" w:cs="Segoe UI"/>
          <w:sz w:val="22"/>
          <w:szCs w:val="28"/>
          <w:lang w:eastAsia="en-AU"/>
        </w:rPr>
      </w:pPr>
      <w:r w:rsidRPr="00932F1C">
        <w:rPr>
          <w:rFonts w:ascii="Public Sans" w:eastAsia="Times New Roman" w:hAnsi="Public Sans" w:cs="Segoe UI"/>
          <w:sz w:val="22"/>
          <w:szCs w:val="28"/>
          <w:lang w:eastAsia="en-AU"/>
        </w:rPr>
        <w:t xml:space="preserve">Between 1 January </w:t>
      </w:r>
      <w:r w:rsidR="006D1E49" w:rsidRPr="00932F1C">
        <w:rPr>
          <w:rFonts w:ascii="Public Sans" w:eastAsia="Times New Roman" w:hAnsi="Public Sans" w:cs="Segoe UI"/>
          <w:sz w:val="22"/>
          <w:szCs w:val="28"/>
          <w:lang w:eastAsia="en-AU"/>
        </w:rPr>
        <w:t>2020</w:t>
      </w:r>
      <w:r w:rsidRPr="00932F1C">
        <w:rPr>
          <w:rFonts w:ascii="Public Sans" w:eastAsia="Times New Roman" w:hAnsi="Public Sans" w:cs="Segoe UI"/>
          <w:sz w:val="22"/>
          <w:szCs w:val="28"/>
          <w:lang w:eastAsia="en-AU"/>
        </w:rPr>
        <w:t xml:space="preserve"> and 31 December </w:t>
      </w:r>
      <w:r w:rsidR="006D1E49" w:rsidRPr="00932F1C">
        <w:rPr>
          <w:rFonts w:ascii="Public Sans" w:eastAsia="Times New Roman" w:hAnsi="Public Sans" w:cs="Segoe UI"/>
          <w:sz w:val="22"/>
          <w:szCs w:val="28"/>
          <w:lang w:eastAsia="en-AU"/>
        </w:rPr>
        <w:t xml:space="preserve">2022, the ADC received 10,963 reports, involving a 40% increase over the three-year period. </w:t>
      </w:r>
      <w:r w:rsidRPr="00932F1C">
        <w:rPr>
          <w:rFonts w:ascii="Public Sans" w:eastAsia="Times New Roman" w:hAnsi="Public Sans" w:cs="Segoe UI"/>
          <w:sz w:val="22"/>
          <w:szCs w:val="28"/>
          <w:lang w:eastAsia="en-AU"/>
        </w:rPr>
        <w:t xml:space="preserve">In relation to </w:t>
      </w:r>
      <w:r w:rsidR="006D1E49" w:rsidRPr="00932F1C">
        <w:rPr>
          <w:rFonts w:ascii="Public Sans" w:eastAsia="Times New Roman" w:hAnsi="Public Sans" w:cs="Segoe UI"/>
          <w:sz w:val="22"/>
          <w:szCs w:val="28"/>
          <w:lang w:eastAsia="en-AU"/>
        </w:rPr>
        <w:t>the</w:t>
      </w:r>
      <w:r w:rsidR="00F5691E">
        <w:rPr>
          <w:rFonts w:ascii="Public Sans" w:eastAsia="Times New Roman" w:hAnsi="Public Sans" w:cs="Segoe UI"/>
          <w:sz w:val="22"/>
          <w:szCs w:val="28"/>
          <w:lang w:eastAsia="en-AU"/>
        </w:rPr>
        <w:t>se</w:t>
      </w:r>
      <w:r w:rsidR="006D1E49" w:rsidRPr="00932F1C">
        <w:rPr>
          <w:rFonts w:ascii="Public Sans" w:eastAsia="Times New Roman" w:hAnsi="Public Sans" w:cs="Segoe UI"/>
          <w:sz w:val="22"/>
          <w:szCs w:val="28"/>
          <w:lang w:eastAsia="en-AU"/>
        </w:rPr>
        <w:t xml:space="preserve"> reports:</w:t>
      </w:r>
    </w:p>
    <w:p w14:paraId="6BC3AD9B" w14:textId="0CF09CC9" w:rsidR="006D1E49" w:rsidRPr="007969C6" w:rsidRDefault="005835A9" w:rsidP="006029CE">
      <w:pPr>
        <w:pStyle w:val="ListParagraph0"/>
        <w:widowControl w:val="0"/>
        <w:numPr>
          <w:ilvl w:val="0"/>
          <w:numId w:val="50"/>
        </w:numPr>
        <w:spacing w:after="0" w:line="240" w:lineRule="auto"/>
        <w:ind w:left="714" w:hanging="357"/>
        <w:rPr>
          <w:rFonts w:ascii="Public Sans" w:hAnsi="Public Sans" w:cs="Segoe UI"/>
          <w:sz w:val="22"/>
          <w:szCs w:val="28"/>
        </w:rPr>
      </w:pPr>
      <w:r w:rsidRPr="007969C6">
        <w:rPr>
          <w:rFonts w:ascii="Public Sans" w:hAnsi="Public Sans" w:cs="Segoe UI"/>
          <w:sz w:val="22"/>
          <w:szCs w:val="28"/>
        </w:rPr>
        <w:t>T</w:t>
      </w:r>
      <w:r w:rsidR="006D1E49" w:rsidRPr="007969C6">
        <w:rPr>
          <w:rFonts w:ascii="Public Sans" w:hAnsi="Public Sans" w:cs="Segoe UI"/>
          <w:sz w:val="22"/>
          <w:szCs w:val="28"/>
        </w:rPr>
        <w:t>he majority (77%) involved older people, including older people with disability</w:t>
      </w:r>
      <w:r w:rsidRPr="007969C6">
        <w:rPr>
          <w:rFonts w:ascii="Public Sans" w:hAnsi="Public Sans" w:cs="Segoe UI"/>
          <w:sz w:val="22"/>
          <w:szCs w:val="28"/>
        </w:rPr>
        <w:t>.</w:t>
      </w:r>
      <w:r w:rsidR="007969C6" w:rsidRPr="007969C6">
        <w:rPr>
          <w:rFonts w:ascii="Public Sans" w:hAnsi="Public Sans" w:cs="Segoe UI"/>
          <w:sz w:val="22"/>
          <w:szCs w:val="28"/>
        </w:rPr>
        <w:t xml:space="preserve"> </w:t>
      </w:r>
      <w:r w:rsidRPr="007969C6">
        <w:rPr>
          <w:rFonts w:ascii="Public Sans" w:hAnsi="Public Sans" w:cs="Segoe UI"/>
          <w:sz w:val="22"/>
          <w:szCs w:val="28"/>
        </w:rPr>
        <w:t>O</w:t>
      </w:r>
      <w:r w:rsidR="006D1E49" w:rsidRPr="007969C6">
        <w:rPr>
          <w:rFonts w:ascii="Public Sans" w:hAnsi="Public Sans" w:cs="Segoe UI"/>
          <w:sz w:val="22"/>
          <w:szCs w:val="28"/>
        </w:rPr>
        <w:t>ne-quarter (23%) involved adults with disability (who were not older people)</w:t>
      </w:r>
      <w:r w:rsidRPr="007969C6">
        <w:rPr>
          <w:rFonts w:ascii="Public Sans" w:hAnsi="Public Sans" w:cs="Segoe UI"/>
          <w:sz w:val="22"/>
          <w:szCs w:val="28"/>
        </w:rPr>
        <w:t>.</w:t>
      </w:r>
    </w:p>
    <w:p w14:paraId="4CE808A5" w14:textId="69476A72" w:rsidR="006D1E49" w:rsidRPr="00932F1C" w:rsidRDefault="005835A9" w:rsidP="00932F1C">
      <w:pPr>
        <w:pStyle w:val="ListParagraph0"/>
        <w:widowControl w:val="0"/>
        <w:numPr>
          <w:ilvl w:val="0"/>
          <w:numId w:val="50"/>
        </w:numPr>
        <w:spacing w:after="0" w:line="240" w:lineRule="auto"/>
        <w:ind w:left="714" w:hanging="357"/>
        <w:rPr>
          <w:rFonts w:ascii="Public Sans" w:hAnsi="Public Sans" w:cs="Segoe UI"/>
          <w:sz w:val="22"/>
          <w:szCs w:val="28"/>
        </w:rPr>
      </w:pPr>
      <w:r w:rsidRPr="00932F1C">
        <w:rPr>
          <w:rFonts w:ascii="Public Sans" w:hAnsi="Public Sans" w:cs="Segoe UI"/>
          <w:sz w:val="22"/>
          <w:szCs w:val="28"/>
        </w:rPr>
        <w:t>F</w:t>
      </w:r>
      <w:r w:rsidR="006D1E49" w:rsidRPr="00932F1C">
        <w:rPr>
          <w:rFonts w:ascii="Public Sans" w:hAnsi="Public Sans" w:cs="Segoe UI"/>
          <w:sz w:val="22"/>
          <w:szCs w:val="28"/>
        </w:rPr>
        <w:t>or older people, the most common alleged abuse involved psychological abuse (40%), financial abuse (28%) and neglect (21%), primarily by their adult children or other family members</w:t>
      </w:r>
      <w:r w:rsidRPr="00932F1C">
        <w:rPr>
          <w:rFonts w:ascii="Public Sans" w:hAnsi="Public Sans" w:cs="Segoe UI"/>
          <w:sz w:val="22"/>
          <w:szCs w:val="28"/>
        </w:rPr>
        <w:t>.</w:t>
      </w:r>
    </w:p>
    <w:p w14:paraId="7CA08D29" w14:textId="21F3118F" w:rsidR="006D1E49" w:rsidRPr="00932F1C" w:rsidRDefault="005835A9" w:rsidP="00932F1C">
      <w:pPr>
        <w:pStyle w:val="ListParagraph0"/>
        <w:widowControl w:val="0"/>
        <w:numPr>
          <w:ilvl w:val="0"/>
          <w:numId w:val="50"/>
        </w:numPr>
        <w:spacing w:after="0" w:line="240" w:lineRule="auto"/>
        <w:ind w:left="714" w:hanging="357"/>
        <w:rPr>
          <w:rFonts w:ascii="Public Sans" w:hAnsi="Public Sans" w:cs="Segoe UI"/>
          <w:sz w:val="22"/>
          <w:szCs w:val="28"/>
        </w:rPr>
      </w:pPr>
      <w:r w:rsidRPr="00932F1C">
        <w:rPr>
          <w:rFonts w:ascii="Public Sans" w:hAnsi="Public Sans" w:cs="Segoe UI"/>
          <w:sz w:val="22"/>
          <w:szCs w:val="28"/>
        </w:rPr>
        <w:t>F</w:t>
      </w:r>
      <w:r w:rsidR="006D1E49" w:rsidRPr="00932F1C">
        <w:rPr>
          <w:rFonts w:ascii="Public Sans" w:hAnsi="Public Sans" w:cs="Segoe UI"/>
          <w:sz w:val="22"/>
          <w:szCs w:val="28"/>
        </w:rPr>
        <w:t>or adults with disability, the most common alleged abuse involved psychological abuse (34%), neglect (26%) and financial abuse (18%), primarily by their parents or other family members</w:t>
      </w:r>
      <w:r w:rsidRPr="00932F1C">
        <w:rPr>
          <w:rFonts w:ascii="Public Sans" w:hAnsi="Public Sans" w:cs="Segoe UI"/>
          <w:sz w:val="22"/>
          <w:szCs w:val="28"/>
        </w:rPr>
        <w:t>.</w:t>
      </w:r>
    </w:p>
    <w:p w14:paraId="529A9416" w14:textId="65377C4D" w:rsidR="00932F1C" w:rsidRPr="00932F1C" w:rsidRDefault="00932F1C" w:rsidP="00932F1C">
      <w:pPr>
        <w:pStyle w:val="ListParagraph0"/>
        <w:widowControl w:val="0"/>
        <w:numPr>
          <w:ilvl w:val="0"/>
          <w:numId w:val="50"/>
        </w:numPr>
        <w:spacing w:after="0" w:line="240" w:lineRule="auto"/>
        <w:ind w:left="714" w:hanging="357"/>
        <w:rPr>
          <w:rFonts w:ascii="Public Sans" w:hAnsi="Public Sans" w:cs="Segoe UI"/>
          <w:sz w:val="22"/>
          <w:szCs w:val="28"/>
        </w:rPr>
      </w:pPr>
      <w:r w:rsidRPr="00932F1C">
        <w:rPr>
          <w:rFonts w:ascii="Public Sans" w:hAnsi="Public Sans" w:cs="Segoe UI"/>
          <w:sz w:val="22"/>
          <w:szCs w:val="28"/>
        </w:rPr>
        <w:t xml:space="preserve">The most common forms of alleged financial abuse involved financial exploitation, misuse of Power of Attorney or Enduring Power of Attorney (EPOA), preventing the adult’s access to their finances, and theft. </w:t>
      </w:r>
    </w:p>
    <w:p w14:paraId="40ABAE61" w14:textId="0FFF8B3C" w:rsidR="00274C54" w:rsidRPr="00932F1C" w:rsidRDefault="005835A9" w:rsidP="00932F1C">
      <w:pPr>
        <w:pStyle w:val="ListParagraph0"/>
        <w:widowControl w:val="0"/>
        <w:numPr>
          <w:ilvl w:val="0"/>
          <w:numId w:val="50"/>
        </w:numPr>
        <w:spacing w:after="0" w:line="240" w:lineRule="auto"/>
        <w:ind w:left="714" w:hanging="357"/>
        <w:rPr>
          <w:rFonts w:ascii="Public Sans" w:hAnsi="Public Sans" w:cs="Segoe UI"/>
          <w:sz w:val="22"/>
          <w:szCs w:val="28"/>
        </w:rPr>
      </w:pPr>
      <w:r w:rsidRPr="00932F1C">
        <w:rPr>
          <w:rFonts w:ascii="Public Sans" w:hAnsi="Public Sans" w:cs="Segoe UI"/>
          <w:sz w:val="22"/>
          <w:szCs w:val="28"/>
        </w:rPr>
        <w:t>A</w:t>
      </w:r>
      <w:r w:rsidR="00274C54" w:rsidRPr="00932F1C">
        <w:rPr>
          <w:rFonts w:ascii="Public Sans" w:hAnsi="Public Sans" w:cs="Segoe UI"/>
          <w:sz w:val="22"/>
          <w:szCs w:val="28"/>
        </w:rPr>
        <w:t xml:space="preserve">llegations about misuse of a </w:t>
      </w:r>
      <w:r w:rsidR="00932F1C" w:rsidRPr="00932F1C">
        <w:rPr>
          <w:rFonts w:ascii="Public Sans" w:hAnsi="Public Sans" w:cs="Segoe UI"/>
          <w:sz w:val="22"/>
          <w:szCs w:val="28"/>
        </w:rPr>
        <w:t>POA/</w:t>
      </w:r>
      <w:r w:rsidR="00274C54" w:rsidRPr="00932F1C">
        <w:rPr>
          <w:rFonts w:ascii="Public Sans" w:hAnsi="Public Sans" w:cs="Segoe UI"/>
          <w:sz w:val="22"/>
          <w:szCs w:val="28"/>
        </w:rPr>
        <w:t>EPOA</w:t>
      </w:r>
      <w:r w:rsidRPr="00932F1C">
        <w:rPr>
          <w:rFonts w:ascii="Public Sans" w:hAnsi="Public Sans" w:cs="Segoe UI"/>
          <w:sz w:val="22"/>
          <w:szCs w:val="28"/>
        </w:rPr>
        <w:t xml:space="preserve"> featured most often in relation to older people</w:t>
      </w:r>
      <w:r w:rsidR="00274C54" w:rsidRPr="00932F1C">
        <w:rPr>
          <w:rFonts w:ascii="Public Sans" w:hAnsi="Public Sans" w:cs="Segoe UI"/>
          <w:sz w:val="22"/>
          <w:szCs w:val="28"/>
        </w:rPr>
        <w:t xml:space="preserve">, </w:t>
      </w:r>
      <w:r w:rsidR="00860235">
        <w:rPr>
          <w:rFonts w:ascii="Public Sans" w:hAnsi="Public Sans" w:cs="Segoe UI"/>
          <w:sz w:val="22"/>
          <w:szCs w:val="28"/>
        </w:rPr>
        <w:t xml:space="preserve">comprising </w:t>
      </w:r>
      <w:r w:rsidRPr="00932F1C">
        <w:rPr>
          <w:rFonts w:ascii="Public Sans" w:hAnsi="Public Sans" w:cs="Segoe UI"/>
          <w:sz w:val="22"/>
          <w:szCs w:val="28"/>
        </w:rPr>
        <w:t xml:space="preserve">5.3% of all allegations </w:t>
      </w:r>
      <w:r w:rsidR="00274C54" w:rsidRPr="00932F1C">
        <w:rPr>
          <w:rFonts w:ascii="Public Sans" w:hAnsi="Public Sans" w:cs="Segoe UI"/>
          <w:sz w:val="22"/>
          <w:szCs w:val="28"/>
        </w:rPr>
        <w:t>in</w:t>
      </w:r>
      <w:r w:rsidRPr="00932F1C">
        <w:rPr>
          <w:rFonts w:ascii="Public Sans" w:hAnsi="Public Sans" w:cs="Segoe UI"/>
          <w:sz w:val="22"/>
          <w:szCs w:val="28"/>
        </w:rPr>
        <w:t>volving</w:t>
      </w:r>
      <w:r w:rsidR="00274C54" w:rsidRPr="00932F1C">
        <w:rPr>
          <w:rFonts w:ascii="Public Sans" w:hAnsi="Public Sans" w:cs="Segoe UI"/>
          <w:sz w:val="22"/>
          <w:szCs w:val="28"/>
        </w:rPr>
        <w:t xml:space="preserve"> older people</w:t>
      </w:r>
      <w:r w:rsidRPr="00932F1C">
        <w:rPr>
          <w:rFonts w:ascii="Public Sans" w:hAnsi="Public Sans" w:cs="Segoe UI"/>
          <w:sz w:val="22"/>
          <w:szCs w:val="28"/>
        </w:rPr>
        <w:t xml:space="preserve">. Misuse of a POA/EPOA was the second most common financial abuse allegation in relation to older people (following financial exploitation), and the sixth most common allegation for older people overall. </w:t>
      </w:r>
    </w:p>
    <w:p w14:paraId="5D405BB0" w14:textId="04700663" w:rsidR="006D1E49" w:rsidRPr="00932F1C" w:rsidRDefault="00932F1C" w:rsidP="00932F1C">
      <w:pPr>
        <w:pStyle w:val="ListParagraph0"/>
        <w:widowControl w:val="0"/>
        <w:numPr>
          <w:ilvl w:val="0"/>
          <w:numId w:val="50"/>
        </w:numPr>
        <w:spacing w:after="0" w:line="240" w:lineRule="auto"/>
        <w:ind w:left="714" w:hanging="357"/>
        <w:rPr>
          <w:rFonts w:ascii="Public Sans" w:hAnsi="Public Sans" w:cs="Segoe UI"/>
          <w:sz w:val="22"/>
          <w:szCs w:val="28"/>
        </w:rPr>
      </w:pPr>
      <w:r w:rsidRPr="00932F1C">
        <w:rPr>
          <w:rFonts w:ascii="Public Sans" w:hAnsi="Public Sans" w:cs="Segoe UI"/>
          <w:sz w:val="22"/>
          <w:szCs w:val="28"/>
        </w:rPr>
        <w:t>F</w:t>
      </w:r>
      <w:r w:rsidR="006D1E49" w:rsidRPr="00932F1C">
        <w:rPr>
          <w:rFonts w:ascii="Public Sans" w:hAnsi="Public Sans" w:cs="Segoe UI"/>
          <w:sz w:val="22"/>
          <w:szCs w:val="28"/>
        </w:rPr>
        <w:t xml:space="preserve">or both older people and adults with disability, psychological abuse has commonly been used to enable financial abuse and exploitation, including verbal threats, pressure, blackmail, and harassment. </w:t>
      </w:r>
    </w:p>
    <w:p w14:paraId="4A4459A1" w14:textId="58B1B5DE" w:rsidR="006D1E49" w:rsidRDefault="006D1E49" w:rsidP="00932F1C">
      <w:pPr>
        <w:rPr>
          <w:rFonts w:ascii="Public Sans" w:eastAsia="Times New Roman" w:hAnsi="Public Sans" w:cs="Arial"/>
          <w:color w:val="000000"/>
          <w:sz w:val="22"/>
          <w:lang w:eastAsia="en-GB"/>
        </w:rPr>
      </w:pPr>
    </w:p>
    <w:p w14:paraId="349ADE71" w14:textId="6CCBE4A5" w:rsidR="00932F1C" w:rsidRDefault="00932F1C" w:rsidP="00932F1C">
      <w:pPr>
        <w:rPr>
          <w:rFonts w:ascii="Public Sans" w:eastAsia="Times New Roman" w:hAnsi="Public Sans" w:cs="Arial"/>
          <w:color w:val="000000"/>
          <w:sz w:val="22"/>
          <w:lang w:eastAsia="en-GB"/>
        </w:rPr>
      </w:pPr>
      <w:r>
        <w:rPr>
          <w:rFonts w:ascii="Public Sans" w:eastAsia="Times New Roman" w:hAnsi="Public Sans" w:cs="Arial"/>
          <w:color w:val="000000"/>
          <w:sz w:val="22"/>
          <w:lang w:eastAsia="en-GB"/>
        </w:rPr>
        <w:t xml:space="preserve">More data relating to reports to the ADC about abuse, neglect and exploitation of older people and adults with disability in NSW is available on the Tools and Resources section of our website: </w:t>
      </w:r>
      <w:hyperlink r:id="rId16" w:history="1">
        <w:r w:rsidRPr="00FE416B">
          <w:rPr>
            <w:rStyle w:val="Hyperlink"/>
            <w:rFonts w:ascii="Public Sans" w:eastAsia="Times New Roman" w:hAnsi="Public Sans" w:cs="Arial"/>
            <w:sz w:val="22"/>
            <w:lang w:eastAsia="en-GB"/>
          </w:rPr>
          <w:t>www.adc.nsw.gov.au</w:t>
        </w:r>
      </w:hyperlink>
      <w:r>
        <w:rPr>
          <w:rFonts w:ascii="Public Sans" w:eastAsia="Times New Roman" w:hAnsi="Public Sans" w:cs="Arial"/>
          <w:color w:val="000000"/>
          <w:sz w:val="22"/>
          <w:lang w:eastAsia="en-GB"/>
        </w:rPr>
        <w:t xml:space="preserve">. </w:t>
      </w:r>
    </w:p>
    <w:p w14:paraId="1CF58C28" w14:textId="77777777" w:rsidR="00CE295A" w:rsidRPr="000C1631" w:rsidRDefault="00CE295A" w:rsidP="00932F1C">
      <w:pPr>
        <w:rPr>
          <w:rFonts w:ascii="Public Sans" w:eastAsia="Times New Roman" w:hAnsi="Public Sans" w:cs="Times New Roman"/>
          <w:sz w:val="22"/>
          <w:lang w:eastAsia="en-GB"/>
        </w:rPr>
      </w:pPr>
      <w:r w:rsidRPr="000C1631">
        <w:rPr>
          <w:rFonts w:ascii="Public Sans" w:eastAsia="Times New Roman" w:hAnsi="Public Sans" w:cs="Arial"/>
          <w:color w:val="000000"/>
          <w:sz w:val="22"/>
          <w:lang w:eastAsia="en-GB"/>
        </w:rPr>
        <w:t> </w:t>
      </w:r>
    </w:p>
    <w:p w14:paraId="7FDA9053" w14:textId="50B7007C" w:rsidR="00CE295A" w:rsidRPr="005B1901" w:rsidRDefault="00CE295A" w:rsidP="005607AE">
      <w:pPr>
        <w:pStyle w:val="Heading2"/>
        <w:spacing w:before="0" w:after="200"/>
        <w:rPr>
          <w:rFonts w:ascii="Public Sans" w:hAnsi="Public Sans"/>
          <w:color w:val="002060"/>
          <w:sz w:val="32"/>
          <w:szCs w:val="32"/>
        </w:rPr>
      </w:pPr>
      <w:r w:rsidRPr="005B1901">
        <w:rPr>
          <w:rFonts w:ascii="Public Sans" w:hAnsi="Public Sans"/>
          <w:color w:val="002060"/>
          <w:sz w:val="32"/>
          <w:szCs w:val="32"/>
        </w:rPr>
        <w:t>Execution of Enduring Powers of Attorney and witnessing arrangements</w:t>
      </w:r>
      <w:r w:rsidR="00165595" w:rsidRPr="005B1901">
        <w:rPr>
          <w:rFonts w:ascii="Public Sans" w:hAnsi="Public Sans"/>
          <w:color w:val="002060"/>
          <w:sz w:val="32"/>
          <w:szCs w:val="32"/>
        </w:rPr>
        <w:t xml:space="preserve"> in relation to principals</w:t>
      </w:r>
    </w:p>
    <w:p w14:paraId="7EDFACA5" w14:textId="05777FFD" w:rsidR="00CE295A" w:rsidRDefault="002F61E6" w:rsidP="006F7E5E">
      <w:pPr>
        <w:rPr>
          <w:rFonts w:ascii="Public Sans" w:eastAsia="Times New Roman" w:hAnsi="Public Sans" w:cs="Arial"/>
          <w:color w:val="000000"/>
          <w:sz w:val="22"/>
          <w:lang w:eastAsia="en-GB"/>
        </w:rPr>
      </w:pPr>
      <w:r>
        <w:rPr>
          <w:rFonts w:ascii="Public Sans" w:eastAsia="Times New Roman" w:hAnsi="Public Sans" w:cs="Arial"/>
          <w:color w:val="000000"/>
          <w:sz w:val="22"/>
          <w:lang w:eastAsia="en-GB"/>
        </w:rPr>
        <w:t xml:space="preserve">The ADC supports </w:t>
      </w:r>
      <w:r w:rsidR="00165595">
        <w:rPr>
          <w:rFonts w:ascii="Public Sans" w:eastAsia="Times New Roman" w:hAnsi="Public Sans" w:cs="Arial"/>
          <w:color w:val="000000"/>
          <w:sz w:val="22"/>
          <w:lang w:eastAsia="en-GB"/>
        </w:rPr>
        <w:t>the proposed</w:t>
      </w:r>
      <w:r>
        <w:rPr>
          <w:rFonts w:ascii="Public Sans" w:eastAsia="Times New Roman" w:hAnsi="Public Sans" w:cs="Arial"/>
          <w:color w:val="000000"/>
          <w:sz w:val="22"/>
          <w:lang w:eastAsia="en-GB"/>
        </w:rPr>
        <w:t xml:space="preserve"> model provision</w:t>
      </w:r>
      <w:r w:rsidR="009C0848">
        <w:rPr>
          <w:rFonts w:ascii="Public Sans" w:eastAsia="Times New Roman" w:hAnsi="Public Sans" w:cs="Arial"/>
          <w:color w:val="000000"/>
          <w:sz w:val="22"/>
          <w:lang w:eastAsia="en-GB"/>
        </w:rPr>
        <w:t>s</w:t>
      </w:r>
      <w:r>
        <w:rPr>
          <w:rFonts w:ascii="Public Sans" w:eastAsia="Times New Roman" w:hAnsi="Public Sans" w:cs="Arial"/>
          <w:color w:val="000000"/>
          <w:sz w:val="22"/>
          <w:lang w:eastAsia="en-GB"/>
        </w:rPr>
        <w:t xml:space="preserve"> </w:t>
      </w:r>
      <w:r w:rsidR="00165595">
        <w:rPr>
          <w:rFonts w:ascii="Public Sans" w:eastAsia="Times New Roman" w:hAnsi="Public Sans" w:cs="Arial"/>
          <w:color w:val="000000"/>
          <w:sz w:val="22"/>
          <w:lang w:eastAsia="en-GB"/>
        </w:rPr>
        <w:t>for execution of an EPOA</w:t>
      </w:r>
      <w:r w:rsidR="009C0848">
        <w:rPr>
          <w:rFonts w:ascii="Public Sans" w:eastAsia="Times New Roman" w:hAnsi="Public Sans" w:cs="Arial"/>
          <w:color w:val="000000"/>
          <w:sz w:val="22"/>
          <w:lang w:eastAsia="en-GB"/>
        </w:rPr>
        <w:t xml:space="preserve"> and for witnessing arrangements in relation to principals</w:t>
      </w:r>
      <w:r>
        <w:rPr>
          <w:rFonts w:ascii="Public Sans" w:eastAsia="Times New Roman" w:hAnsi="Public Sans" w:cs="Arial"/>
          <w:color w:val="000000"/>
          <w:sz w:val="22"/>
          <w:lang w:eastAsia="en-GB"/>
        </w:rPr>
        <w:t xml:space="preserve">. </w:t>
      </w:r>
      <w:r w:rsidR="00165595">
        <w:rPr>
          <w:rFonts w:ascii="Public Sans" w:eastAsia="Times New Roman" w:hAnsi="Public Sans" w:cs="Arial"/>
          <w:color w:val="000000"/>
          <w:sz w:val="22"/>
          <w:lang w:eastAsia="en-GB"/>
        </w:rPr>
        <w:t xml:space="preserve">The proposed provisions are </w:t>
      </w:r>
      <w:r w:rsidR="00CE295A" w:rsidRPr="000C1631">
        <w:rPr>
          <w:rFonts w:ascii="Public Sans" w:eastAsia="Times New Roman" w:hAnsi="Public Sans" w:cs="Arial"/>
          <w:color w:val="000000"/>
          <w:sz w:val="22"/>
          <w:lang w:eastAsia="en-GB"/>
        </w:rPr>
        <w:t xml:space="preserve">largely </w:t>
      </w:r>
      <w:r w:rsidR="00165595">
        <w:rPr>
          <w:rFonts w:ascii="Public Sans" w:eastAsia="Times New Roman" w:hAnsi="Public Sans" w:cs="Arial"/>
          <w:color w:val="000000"/>
          <w:sz w:val="22"/>
          <w:lang w:eastAsia="en-GB"/>
        </w:rPr>
        <w:t xml:space="preserve">consistent with </w:t>
      </w:r>
      <w:r w:rsidR="00CE295A" w:rsidRPr="000C1631">
        <w:rPr>
          <w:rFonts w:ascii="Public Sans" w:eastAsia="Times New Roman" w:hAnsi="Public Sans" w:cs="Arial"/>
          <w:color w:val="000000"/>
          <w:sz w:val="22"/>
          <w:lang w:eastAsia="en-GB"/>
        </w:rPr>
        <w:t xml:space="preserve">current </w:t>
      </w:r>
      <w:r w:rsidR="00165595">
        <w:rPr>
          <w:rFonts w:ascii="Public Sans" w:eastAsia="Times New Roman" w:hAnsi="Public Sans" w:cs="Arial"/>
          <w:color w:val="000000"/>
          <w:sz w:val="22"/>
          <w:lang w:eastAsia="en-GB"/>
        </w:rPr>
        <w:t xml:space="preserve">requirements in </w:t>
      </w:r>
      <w:r w:rsidR="00CE295A" w:rsidRPr="000C1631">
        <w:rPr>
          <w:rFonts w:ascii="Public Sans" w:eastAsia="Times New Roman" w:hAnsi="Public Sans" w:cs="Arial"/>
          <w:color w:val="000000"/>
          <w:sz w:val="22"/>
          <w:lang w:eastAsia="en-GB"/>
        </w:rPr>
        <w:t>NSW. </w:t>
      </w:r>
      <w:r w:rsidR="009C0848">
        <w:rPr>
          <w:rFonts w:ascii="Public Sans" w:eastAsia="Times New Roman" w:hAnsi="Public Sans" w:cs="Arial"/>
          <w:color w:val="000000"/>
          <w:sz w:val="22"/>
          <w:lang w:eastAsia="en-GB"/>
        </w:rPr>
        <w:t>We support continuation of the existing arrangements in NSW</w:t>
      </w:r>
      <w:r w:rsidR="00323BAF">
        <w:rPr>
          <w:rFonts w:ascii="Public Sans" w:eastAsia="Times New Roman" w:hAnsi="Public Sans" w:cs="Arial"/>
          <w:color w:val="000000"/>
          <w:sz w:val="22"/>
          <w:lang w:eastAsia="en-GB"/>
        </w:rPr>
        <w:t xml:space="preserve"> </w:t>
      </w:r>
      <w:r w:rsidR="009C0848">
        <w:rPr>
          <w:rFonts w:ascii="Public Sans" w:eastAsia="Times New Roman" w:hAnsi="Public Sans" w:cs="Arial"/>
          <w:color w:val="000000"/>
          <w:sz w:val="22"/>
          <w:lang w:eastAsia="en-GB"/>
        </w:rPr>
        <w:t>with the requirement for only one witness</w:t>
      </w:r>
      <w:r w:rsidR="00323BAF">
        <w:rPr>
          <w:rFonts w:ascii="Public Sans" w:eastAsia="Times New Roman" w:hAnsi="Public Sans" w:cs="Arial"/>
          <w:color w:val="000000"/>
          <w:sz w:val="22"/>
          <w:lang w:eastAsia="en-GB"/>
        </w:rPr>
        <w:t xml:space="preserve">. </w:t>
      </w:r>
    </w:p>
    <w:p w14:paraId="671865E3" w14:textId="2E09A7F5" w:rsidR="002130A5" w:rsidRDefault="002130A5" w:rsidP="006F7E5E">
      <w:pPr>
        <w:rPr>
          <w:rFonts w:ascii="Public Sans" w:eastAsia="Times New Roman" w:hAnsi="Public Sans" w:cs="Arial"/>
          <w:color w:val="000000"/>
          <w:sz w:val="22"/>
          <w:lang w:eastAsia="en-GB"/>
        </w:rPr>
      </w:pPr>
    </w:p>
    <w:p w14:paraId="437D2A76" w14:textId="47CB7A07" w:rsidR="002130A5" w:rsidRDefault="002130A5" w:rsidP="006F7E5E">
      <w:pPr>
        <w:rPr>
          <w:rFonts w:ascii="Public Sans" w:eastAsia="Times New Roman" w:hAnsi="Public Sans" w:cs="Arial"/>
          <w:color w:val="000000"/>
          <w:sz w:val="22"/>
          <w:lang w:eastAsia="en-GB"/>
        </w:rPr>
      </w:pPr>
      <w:r>
        <w:rPr>
          <w:rFonts w:ascii="Public Sans" w:eastAsia="Times New Roman" w:hAnsi="Public Sans" w:cs="Arial"/>
          <w:color w:val="000000"/>
          <w:sz w:val="22"/>
          <w:lang w:eastAsia="en-GB"/>
        </w:rPr>
        <w:t>We agree with the proposal to retain jurisdiction-specific approaches to witnessing arrangements for principals to better cater for local conditions</w:t>
      </w:r>
      <w:r w:rsidR="008341B1">
        <w:rPr>
          <w:rFonts w:ascii="Public Sans" w:eastAsia="Times New Roman" w:hAnsi="Public Sans" w:cs="Arial"/>
          <w:color w:val="000000"/>
          <w:sz w:val="22"/>
          <w:lang w:eastAsia="en-GB"/>
        </w:rPr>
        <w:t xml:space="preserve">. </w:t>
      </w:r>
      <w:r w:rsidR="00E87B7E">
        <w:rPr>
          <w:rFonts w:ascii="Public Sans" w:eastAsia="Times New Roman" w:hAnsi="Public Sans" w:cs="Arial"/>
          <w:color w:val="000000"/>
          <w:sz w:val="22"/>
          <w:lang w:eastAsia="en-GB"/>
        </w:rPr>
        <w:t xml:space="preserve">In our experience, the scope </w:t>
      </w:r>
      <w:r w:rsidR="00792B0E">
        <w:rPr>
          <w:rFonts w:ascii="Public Sans" w:eastAsia="Times New Roman" w:hAnsi="Public Sans" w:cs="Arial"/>
          <w:color w:val="000000"/>
          <w:sz w:val="22"/>
          <w:lang w:eastAsia="en-GB"/>
        </w:rPr>
        <w:t xml:space="preserve">and qualifications </w:t>
      </w:r>
      <w:r w:rsidR="00E87B7E">
        <w:rPr>
          <w:rFonts w:ascii="Public Sans" w:eastAsia="Times New Roman" w:hAnsi="Public Sans" w:cs="Arial"/>
          <w:color w:val="000000"/>
          <w:sz w:val="22"/>
          <w:lang w:eastAsia="en-GB"/>
        </w:rPr>
        <w:t>of authorised witnesses in NSW is appropriate</w:t>
      </w:r>
      <w:r w:rsidR="00B91230">
        <w:rPr>
          <w:rFonts w:ascii="Public Sans" w:eastAsia="Times New Roman" w:hAnsi="Public Sans" w:cs="Arial"/>
          <w:color w:val="000000"/>
          <w:sz w:val="22"/>
          <w:lang w:eastAsia="en-GB"/>
        </w:rPr>
        <w:t xml:space="preserve">. </w:t>
      </w:r>
      <w:r w:rsidR="00792B0E">
        <w:rPr>
          <w:rFonts w:ascii="Public Sans" w:eastAsia="Times New Roman" w:hAnsi="Public Sans" w:cs="Arial"/>
          <w:color w:val="000000"/>
          <w:sz w:val="22"/>
          <w:lang w:eastAsia="en-GB"/>
        </w:rPr>
        <w:t xml:space="preserve"> </w:t>
      </w:r>
    </w:p>
    <w:p w14:paraId="760005B0" w14:textId="79E732B6" w:rsidR="00621D4B" w:rsidRDefault="00621D4B" w:rsidP="006F7E5E">
      <w:pPr>
        <w:rPr>
          <w:rFonts w:ascii="Public Sans" w:eastAsia="Times New Roman" w:hAnsi="Public Sans" w:cs="Arial"/>
          <w:color w:val="000000"/>
          <w:sz w:val="22"/>
          <w:lang w:eastAsia="en-GB"/>
        </w:rPr>
      </w:pPr>
    </w:p>
    <w:p w14:paraId="5ADAB75D" w14:textId="50DB8DE8" w:rsidR="005F4D53" w:rsidRDefault="00B91230" w:rsidP="005F09BC">
      <w:pPr>
        <w:rPr>
          <w:rFonts w:ascii="Public Sans" w:hAnsi="Public Sans" w:cs="Arial"/>
          <w:color w:val="000000"/>
          <w:sz w:val="22"/>
          <w:lang w:eastAsia="en-GB"/>
        </w:rPr>
      </w:pPr>
      <w:r>
        <w:rPr>
          <w:rFonts w:ascii="Public Sans" w:eastAsia="Times New Roman" w:hAnsi="Public Sans" w:cs="Arial"/>
          <w:color w:val="000000"/>
          <w:sz w:val="22"/>
          <w:lang w:eastAsia="en-GB"/>
        </w:rPr>
        <w:t xml:space="preserve">The ADC strongly supports having plain language and accessible prescribed information on the rights and obligations of principals, and would like to see this be part of, or a mandatory attachment to, the prescribed EPOA form. To better </w:t>
      </w:r>
      <w:r w:rsidR="008E4D7A">
        <w:rPr>
          <w:rFonts w:ascii="Public Sans" w:eastAsia="Times New Roman" w:hAnsi="Public Sans" w:cs="Arial"/>
          <w:color w:val="000000"/>
          <w:sz w:val="22"/>
          <w:lang w:eastAsia="en-GB"/>
        </w:rPr>
        <w:t>inform</w:t>
      </w:r>
      <w:r>
        <w:rPr>
          <w:rFonts w:ascii="Public Sans" w:eastAsia="Times New Roman" w:hAnsi="Public Sans" w:cs="Arial"/>
          <w:color w:val="000000"/>
          <w:sz w:val="22"/>
          <w:lang w:eastAsia="en-GB"/>
        </w:rPr>
        <w:t xml:space="preserve"> the decision-making of principals and </w:t>
      </w:r>
      <w:r w:rsidR="008E4D7A">
        <w:rPr>
          <w:rFonts w:ascii="Public Sans" w:eastAsia="Times New Roman" w:hAnsi="Public Sans" w:cs="Arial"/>
          <w:color w:val="000000"/>
          <w:sz w:val="22"/>
          <w:lang w:eastAsia="en-GB"/>
        </w:rPr>
        <w:t xml:space="preserve">improve their protections, we </w:t>
      </w:r>
      <w:r w:rsidR="00FD1F35">
        <w:rPr>
          <w:rFonts w:ascii="Public Sans" w:eastAsia="Times New Roman" w:hAnsi="Public Sans" w:cs="Arial"/>
          <w:color w:val="000000"/>
          <w:sz w:val="22"/>
          <w:lang w:eastAsia="en-GB"/>
        </w:rPr>
        <w:t>consider that</w:t>
      </w:r>
      <w:r w:rsidR="005F09BC">
        <w:rPr>
          <w:rFonts w:ascii="Public Sans" w:eastAsia="Times New Roman" w:hAnsi="Public Sans" w:cs="Arial"/>
          <w:color w:val="000000"/>
          <w:sz w:val="22"/>
          <w:lang w:eastAsia="en-GB"/>
        </w:rPr>
        <w:t xml:space="preserve"> </w:t>
      </w:r>
      <w:r w:rsidR="008724E0">
        <w:rPr>
          <w:rFonts w:ascii="Public Sans" w:eastAsia="Times New Roman" w:hAnsi="Public Sans" w:cs="Arial"/>
          <w:color w:val="000000"/>
          <w:sz w:val="22"/>
          <w:lang w:eastAsia="en-GB"/>
        </w:rPr>
        <w:t xml:space="preserve">the </w:t>
      </w:r>
      <w:r w:rsidR="008E4D7A">
        <w:rPr>
          <w:rFonts w:ascii="Public Sans" w:eastAsia="Times New Roman" w:hAnsi="Public Sans" w:cs="Arial"/>
          <w:color w:val="000000"/>
          <w:sz w:val="22"/>
          <w:lang w:eastAsia="en-GB"/>
        </w:rPr>
        <w:t xml:space="preserve">accessible guidance </w:t>
      </w:r>
      <w:r w:rsidR="00FD1F35">
        <w:rPr>
          <w:rFonts w:ascii="Public Sans" w:eastAsia="Times New Roman" w:hAnsi="Public Sans" w:cs="Arial"/>
          <w:color w:val="000000"/>
          <w:sz w:val="22"/>
          <w:lang w:eastAsia="en-GB"/>
        </w:rPr>
        <w:t xml:space="preserve">should </w:t>
      </w:r>
      <w:r w:rsidR="005F09BC">
        <w:rPr>
          <w:rFonts w:ascii="Public Sans" w:eastAsia="Times New Roman" w:hAnsi="Public Sans" w:cs="Arial"/>
          <w:color w:val="000000"/>
          <w:sz w:val="22"/>
          <w:lang w:eastAsia="en-GB"/>
        </w:rPr>
        <w:t>i</w:t>
      </w:r>
      <w:r w:rsidR="008E4D7A">
        <w:rPr>
          <w:rFonts w:ascii="Public Sans" w:eastAsia="Times New Roman" w:hAnsi="Public Sans" w:cs="Arial"/>
          <w:color w:val="000000"/>
          <w:sz w:val="22"/>
          <w:lang w:eastAsia="en-GB"/>
        </w:rPr>
        <w:t>nclude</w:t>
      </w:r>
      <w:r w:rsidR="005F09BC">
        <w:rPr>
          <w:rFonts w:ascii="Public Sans" w:eastAsia="Times New Roman" w:hAnsi="Public Sans" w:cs="Arial"/>
          <w:color w:val="000000"/>
          <w:sz w:val="22"/>
          <w:lang w:eastAsia="en-GB"/>
        </w:rPr>
        <w:t xml:space="preserve"> </w:t>
      </w:r>
      <w:r w:rsidR="005F09BC">
        <w:rPr>
          <w:rFonts w:ascii="Public Sans" w:hAnsi="Public Sans" w:cs="Arial"/>
          <w:color w:val="000000"/>
          <w:sz w:val="22"/>
          <w:lang w:eastAsia="en-GB"/>
        </w:rPr>
        <w:t xml:space="preserve">clear information </w:t>
      </w:r>
      <w:r w:rsidR="00FD1F35">
        <w:rPr>
          <w:rFonts w:ascii="Public Sans" w:hAnsi="Public Sans" w:cs="Arial"/>
          <w:color w:val="000000"/>
          <w:sz w:val="22"/>
          <w:lang w:eastAsia="en-GB"/>
        </w:rPr>
        <w:t>and practical examples for</w:t>
      </w:r>
      <w:r w:rsidR="005F09BC">
        <w:rPr>
          <w:rFonts w:ascii="Public Sans" w:hAnsi="Public Sans" w:cs="Arial"/>
          <w:color w:val="000000"/>
          <w:sz w:val="22"/>
          <w:lang w:eastAsia="en-GB"/>
        </w:rPr>
        <w:t xml:space="preserve"> each of the components of the form. For example</w:t>
      </w:r>
      <w:r w:rsidR="005F4D53">
        <w:rPr>
          <w:rFonts w:ascii="Public Sans" w:hAnsi="Public Sans" w:cs="Arial"/>
          <w:color w:val="000000"/>
          <w:sz w:val="22"/>
          <w:lang w:eastAsia="en-GB"/>
        </w:rPr>
        <w:t>:</w:t>
      </w:r>
    </w:p>
    <w:p w14:paraId="56F1FF52" w14:textId="50E3ACB8" w:rsidR="008E4D7A" w:rsidRDefault="00FD1F35" w:rsidP="00805428">
      <w:pPr>
        <w:pStyle w:val="ListParagraph0"/>
        <w:numPr>
          <w:ilvl w:val="0"/>
          <w:numId w:val="34"/>
        </w:numPr>
        <w:spacing w:before="60" w:after="0" w:line="240" w:lineRule="auto"/>
        <w:ind w:left="714" w:hanging="357"/>
        <w:rPr>
          <w:rFonts w:ascii="Public Sans" w:hAnsi="Public Sans" w:cs="Arial"/>
          <w:color w:val="000000"/>
          <w:sz w:val="22"/>
          <w:lang w:eastAsia="en-GB"/>
        </w:rPr>
      </w:pPr>
      <w:r w:rsidRPr="005F4D53">
        <w:rPr>
          <w:rFonts w:ascii="Public Sans" w:hAnsi="Public Sans" w:cs="Arial"/>
          <w:color w:val="000000"/>
          <w:sz w:val="22"/>
          <w:lang w:eastAsia="en-GB"/>
        </w:rPr>
        <w:t xml:space="preserve">to clearly illustrate </w:t>
      </w:r>
      <w:r w:rsidR="005F09BC" w:rsidRPr="005F4D53">
        <w:rPr>
          <w:rFonts w:ascii="Public Sans" w:hAnsi="Public Sans" w:cs="Arial"/>
          <w:color w:val="000000"/>
          <w:sz w:val="22"/>
          <w:lang w:eastAsia="en-GB"/>
        </w:rPr>
        <w:t>what i</w:t>
      </w:r>
      <w:r w:rsidRPr="005F4D53">
        <w:rPr>
          <w:rFonts w:ascii="Public Sans" w:hAnsi="Public Sans" w:cs="Arial"/>
          <w:color w:val="000000"/>
          <w:sz w:val="22"/>
          <w:lang w:eastAsia="en-GB"/>
        </w:rPr>
        <w:t>t</w:t>
      </w:r>
      <w:r w:rsidR="005F09BC" w:rsidRPr="005F4D53">
        <w:rPr>
          <w:rFonts w:ascii="Public Sans" w:hAnsi="Public Sans" w:cs="Arial"/>
          <w:color w:val="000000"/>
          <w:sz w:val="22"/>
          <w:lang w:eastAsia="en-GB"/>
        </w:rPr>
        <w:t xml:space="preserve"> means to a</w:t>
      </w:r>
      <w:r w:rsidRPr="005F4D53">
        <w:rPr>
          <w:rFonts w:ascii="Public Sans" w:hAnsi="Public Sans" w:cs="Arial"/>
          <w:color w:val="000000"/>
          <w:sz w:val="22"/>
          <w:lang w:eastAsia="en-GB"/>
        </w:rPr>
        <w:t>uthorise</w:t>
      </w:r>
      <w:r w:rsidR="005F09BC" w:rsidRPr="005F4D53">
        <w:rPr>
          <w:rFonts w:ascii="Public Sans" w:hAnsi="Public Sans" w:cs="Arial"/>
          <w:color w:val="000000"/>
          <w:sz w:val="22"/>
          <w:lang w:eastAsia="en-GB"/>
        </w:rPr>
        <w:t xml:space="preserve"> the attorney to give </w:t>
      </w:r>
      <w:r w:rsidRPr="005F4D53">
        <w:rPr>
          <w:rFonts w:ascii="Public Sans" w:hAnsi="Public Sans" w:cs="Arial"/>
          <w:color w:val="000000"/>
          <w:sz w:val="22"/>
          <w:lang w:eastAsia="en-GB"/>
        </w:rPr>
        <w:t>reasonable</w:t>
      </w:r>
      <w:r w:rsidR="005F09BC" w:rsidRPr="005F4D53">
        <w:rPr>
          <w:rFonts w:ascii="Public Sans" w:hAnsi="Public Sans" w:cs="Arial"/>
          <w:color w:val="000000"/>
          <w:sz w:val="22"/>
          <w:lang w:eastAsia="en-GB"/>
        </w:rPr>
        <w:t xml:space="preserve"> gifts</w:t>
      </w:r>
      <w:r w:rsidRPr="005F4D53">
        <w:rPr>
          <w:rFonts w:ascii="Public Sans" w:hAnsi="Public Sans" w:cs="Arial"/>
          <w:color w:val="000000"/>
          <w:sz w:val="22"/>
          <w:lang w:eastAsia="en-GB"/>
        </w:rPr>
        <w:t xml:space="preserve"> and/or confer benefits</w:t>
      </w:r>
      <w:r w:rsidR="005F4D53">
        <w:rPr>
          <w:rFonts w:ascii="Public Sans" w:hAnsi="Public Sans" w:cs="Arial"/>
          <w:color w:val="000000"/>
          <w:sz w:val="22"/>
          <w:lang w:eastAsia="en-GB"/>
        </w:rPr>
        <w:t xml:space="preserve"> </w:t>
      </w:r>
    </w:p>
    <w:p w14:paraId="7D6918A7" w14:textId="3F87EF0A" w:rsidR="005F4D53" w:rsidRDefault="005F4D53" w:rsidP="00805428">
      <w:pPr>
        <w:pStyle w:val="ListParagraph0"/>
        <w:numPr>
          <w:ilvl w:val="0"/>
          <w:numId w:val="34"/>
        </w:numPr>
        <w:spacing w:before="60" w:after="0" w:line="240" w:lineRule="auto"/>
        <w:ind w:left="714" w:hanging="357"/>
        <w:rPr>
          <w:rFonts w:ascii="Public Sans" w:hAnsi="Public Sans" w:cs="Arial"/>
          <w:color w:val="000000"/>
          <w:sz w:val="22"/>
          <w:lang w:eastAsia="en-GB"/>
        </w:rPr>
      </w:pPr>
      <w:r>
        <w:rPr>
          <w:rFonts w:ascii="Public Sans" w:hAnsi="Public Sans" w:cs="Arial"/>
          <w:color w:val="000000"/>
          <w:sz w:val="22"/>
          <w:lang w:eastAsia="en-GB"/>
        </w:rPr>
        <w:t xml:space="preserve">to enable the principal to understand </w:t>
      </w:r>
      <w:r w:rsidR="002B308B">
        <w:rPr>
          <w:rFonts w:ascii="Public Sans" w:hAnsi="Public Sans" w:cs="Arial"/>
          <w:color w:val="000000"/>
          <w:sz w:val="22"/>
          <w:lang w:eastAsia="en-GB"/>
        </w:rPr>
        <w:t xml:space="preserve">the </w:t>
      </w:r>
      <w:r w:rsidR="008810B6">
        <w:rPr>
          <w:rFonts w:ascii="Public Sans" w:hAnsi="Public Sans" w:cs="Arial"/>
          <w:color w:val="000000"/>
          <w:sz w:val="22"/>
          <w:lang w:eastAsia="en-GB"/>
        </w:rPr>
        <w:t xml:space="preserve">types of </w:t>
      </w:r>
      <w:r w:rsidR="002B308B">
        <w:rPr>
          <w:rFonts w:ascii="Public Sans" w:hAnsi="Public Sans" w:cs="Arial"/>
          <w:color w:val="000000"/>
          <w:sz w:val="22"/>
          <w:lang w:eastAsia="en-GB"/>
        </w:rPr>
        <w:t>conditions and limitations that can provide a critical safeguard for their finances/assets</w:t>
      </w:r>
      <w:r w:rsidR="00805428">
        <w:rPr>
          <w:rFonts w:ascii="Public Sans" w:hAnsi="Public Sans" w:cs="Arial"/>
          <w:color w:val="000000"/>
          <w:sz w:val="22"/>
          <w:lang w:eastAsia="en-GB"/>
        </w:rPr>
        <w:t>.</w:t>
      </w:r>
    </w:p>
    <w:p w14:paraId="4C6EC0BF" w14:textId="0BD8825A" w:rsidR="00805428" w:rsidRDefault="00805428" w:rsidP="00805428">
      <w:pPr>
        <w:rPr>
          <w:rFonts w:ascii="Public Sans" w:hAnsi="Public Sans" w:cs="Arial"/>
          <w:color w:val="000000"/>
          <w:sz w:val="22"/>
          <w:lang w:eastAsia="en-GB"/>
        </w:rPr>
      </w:pPr>
    </w:p>
    <w:p w14:paraId="35916109" w14:textId="536B4354" w:rsidR="00A33DF8" w:rsidRPr="005F09BC" w:rsidRDefault="00621D4B" w:rsidP="00A33DF8">
      <w:pPr>
        <w:rPr>
          <w:rFonts w:ascii="Public Sans" w:hAnsi="Public Sans" w:cs="Arial"/>
          <w:color w:val="000000"/>
          <w:sz w:val="22"/>
          <w:lang w:eastAsia="en-GB"/>
        </w:rPr>
      </w:pPr>
      <w:r>
        <w:rPr>
          <w:rFonts w:ascii="Public Sans" w:eastAsia="Times New Roman" w:hAnsi="Public Sans" w:cs="Arial"/>
          <w:color w:val="000000"/>
          <w:sz w:val="22"/>
          <w:lang w:eastAsia="en-GB"/>
        </w:rPr>
        <w:t xml:space="preserve">The ADC supports the </w:t>
      </w:r>
      <w:r w:rsidR="007767D9">
        <w:rPr>
          <w:rFonts w:ascii="Public Sans" w:eastAsia="Times New Roman" w:hAnsi="Public Sans" w:cs="Arial"/>
          <w:color w:val="000000"/>
          <w:sz w:val="22"/>
          <w:lang w:eastAsia="en-GB"/>
        </w:rPr>
        <w:t xml:space="preserve">proposed enhanced witnessing obligations in relation to principals. </w:t>
      </w:r>
      <w:r w:rsidR="00AD74F6">
        <w:rPr>
          <w:rFonts w:ascii="Public Sans" w:eastAsia="Times New Roman" w:hAnsi="Public Sans" w:cs="Arial"/>
          <w:color w:val="000000"/>
          <w:sz w:val="22"/>
          <w:lang w:eastAsia="en-GB"/>
        </w:rPr>
        <w:t xml:space="preserve">However, we note that NSW currently requires the witness to certify that they explained the effect of the EPOA to the principal before it was signed, and this is not limited to legal practitioners. We would have concerns about any changes that would weaken the existing arrangements in NSW. </w:t>
      </w:r>
      <w:r w:rsidR="00EC69D7">
        <w:rPr>
          <w:rFonts w:ascii="Public Sans" w:eastAsia="Times New Roman" w:hAnsi="Public Sans" w:cs="Arial"/>
          <w:color w:val="000000"/>
          <w:sz w:val="22"/>
          <w:lang w:eastAsia="en-GB"/>
        </w:rPr>
        <w:t xml:space="preserve"> </w:t>
      </w:r>
    </w:p>
    <w:p w14:paraId="69DB9AB9" w14:textId="5B1C423D" w:rsidR="00165595" w:rsidRPr="00A33DF8" w:rsidRDefault="00165595" w:rsidP="00A33DF8">
      <w:pPr>
        <w:rPr>
          <w:rFonts w:ascii="Public Sans" w:hAnsi="Public Sans" w:cs="Arial"/>
          <w:color w:val="000000"/>
          <w:sz w:val="22"/>
          <w:lang w:eastAsia="en-GB"/>
        </w:rPr>
      </w:pPr>
    </w:p>
    <w:p w14:paraId="3A72A600" w14:textId="7D14CA48" w:rsidR="00CE295A" w:rsidRPr="005B1901" w:rsidRDefault="00EC69D7" w:rsidP="005607AE">
      <w:pPr>
        <w:pStyle w:val="Heading2"/>
        <w:spacing w:before="0" w:after="200"/>
        <w:rPr>
          <w:rFonts w:ascii="Public Sans" w:hAnsi="Public Sans"/>
          <w:color w:val="002060"/>
          <w:sz w:val="32"/>
          <w:szCs w:val="36"/>
        </w:rPr>
      </w:pPr>
      <w:r w:rsidRPr="005B1901">
        <w:rPr>
          <w:rFonts w:ascii="Public Sans" w:hAnsi="Public Sans"/>
          <w:color w:val="002060"/>
          <w:sz w:val="32"/>
          <w:szCs w:val="36"/>
        </w:rPr>
        <w:t>Acceptance of appointment by an attorney</w:t>
      </w:r>
    </w:p>
    <w:p w14:paraId="1FADB163" w14:textId="5D3188F7" w:rsidR="00570393" w:rsidRDefault="00D42678" w:rsidP="006F7E5E">
      <w:pPr>
        <w:rPr>
          <w:rFonts w:ascii="Public Sans" w:eastAsia="Times New Roman" w:hAnsi="Public Sans" w:cs="Arial"/>
          <w:color w:val="000000"/>
          <w:sz w:val="22"/>
          <w:lang w:eastAsia="en-GB"/>
        </w:rPr>
      </w:pPr>
      <w:r>
        <w:rPr>
          <w:rFonts w:ascii="Public Sans" w:eastAsia="Times New Roman" w:hAnsi="Public Sans" w:cs="Arial"/>
          <w:color w:val="000000"/>
          <w:sz w:val="22"/>
          <w:lang w:eastAsia="en-GB"/>
        </w:rPr>
        <w:t>The ADC strongly supports the model provisions that would require the attorney to sign undertakings that they understand</w:t>
      </w:r>
      <w:r w:rsidR="00570393">
        <w:rPr>
          <w:rFonts w:ascii="Public Sans" w:eastAsia="Times New Roman" w:hAnsi="Public Sans" w:cs="Arial"/>
          <w:color w:val="000000"/>
          <w:sz w:val="22"/>
          <w:lang w:eastAsia="en-GB"/>
        </w:rPr>
        <w:t xml:space="preserve"> and will comply with the requirements. We support the provision of plain language and accessible information</w:t>
      </w:r>
      <w:r w:rsidR="003D0F9E">
        <w:rPr>
          <w:rFonts w:ascii="Public Sans" w:eastAsia="Times New Roman" w:hAnsi="Public Sans" w:cs="Arial"/>
          <w:color w:val="000000"/>
          <w:sz w:val="22"/>
          <w:lang w:eastAsia="en-GB"/>
        </w:rPr>
        <w:t xml:space="preserve"> that makes it clear what they can and cannot do, their obligations as an attorney, and the civil and criminal penalties that can apply if they do not comply with the requirements. </w:t>
      </w:r>
    </w:p>
    <w:p w14:paraId="2BA72C63" w14:textId="71EDFA16" w:rsidR="005B1901" w:rsidRDefault="005B1901" w:rsidP="005B1901"/>
    <w:p w14:paraId="48F5915D" w14:textId="5615121A" w:rsidR="004A2D9B" w:rsidRDefault="005B1901" w:rsidP="005B1901">
      <w:pPr>
        <w:rPr>
          <w:rFonts w:ascii="Public Sans" w:hAnsi="Public Sans"/>
          <w:sz w:val="22"/>
          <w:szCs w:val="24"/>
        </w:rPr>
      </w:pPr>
      <w:r w:rsidRPr="00AB2A05">
        <w:rPr>
          <w:rFonts w:ascii="Public Sans" w:hAnsi="Public Sans"/>
          <w:sz w:val="22"/>
          <w:szCs w:val="24"/>
        </w:rPr>
        <w:t xml:space="preserve">However, we do not </w:t>
      </w:r>
      <w:r w:rsidR="00736DC2">
        <w:rPr>
          <w:rFonts w:ascii="Public Sans" w:hAnsi="Public Sans"/>
          <w:sz w:val="22"/>
          <w:szCs w:val="24"/>
        </w:rPr>
        <w:t xml:space="preserve">currently </w:t>
      </w:r>
      <w:r w:rsidRPr="00AB2A05">
        <w:rPr>
          <w:rFonts w:ascii="Public Sans" w:hAnsi="Public Sans"/>
          <w:sz w:val="22"/>
          <w:szCs w:val="24"/>
        </w:rPr>
        <w:t>support the proposed requirements for attorneys to have to sign in front of an authorised witness. This adds a layer of cost and bureaucracy into the process that will deter parties from agreeing to be an attorney</w:t>
      </w:r>
      <w:r w:rsidR="00AB2A05">
        <w:rPr>
          <w:rFonts w:ascii="Public Sans" w:hAnsi="Public Sans"/>
          <w:sz w:val="22"/>
          <w:szCs w:val="24"/>
        </w:rPr>
        <w:t>,</w:t>
      </w:r>
      <w:r w:rsidRPr="00AB2A05">
        <w:rPr>
          <w:rFonts w:ascii="Public Sans" w:hAnsi="Public Sans"/>
          <w:sz w:val="22"/>
          <w:szCs w:val="24"/>
        </w:rPr>
        <w:t xml:space="preserve"> particularly if they have to pay for a legal practitioner to witness. I</w:t>
      </w:r>
      <w:r w:rsidR="00B14D7A">
        <w:rPr>
          <w:rFonts w:ascii="Public Sans" w:hAnsi="Public Sans"/>
          <w:sz w:val="22"/>
          <w:szCs w:val="24"/>
        </w:rPr>
        <w:t>mportantly, i</w:t>
      </w:r>
      <w:r w:rsidRPr="00AB2A05">
        <w:rPr>
          <w:rFonts w:ascii="Public Sans" w:hAnsi="Public Sans"/>
          <w:sz w:val="22"/>
          <w:szCs w:val="24"/>
        </w:rPr>
        <w:t>n our view the proposed witnessing requirements in relation to attorneys would not provide a</w:t>
      </w:r>
      <w:r w:rsidR="00B14D7A">
        <w:rPr>
          <w:rFonts w:ascii="Public Sans" w:hAnsi="Public Sans"/>
          <w:sz w:val="22"/>
          <w:szCs w:val="24"/>
        </w:rPr>
        <w:t xml:space="preserve"> </w:t>
      </w:r>
      <w:r w:rsidR="00736DC2">
        <w:rPr>
          <w:rFonts w:ascii="Public Sans" w:hAnsi="Public Sans"/>
          <w:sz w:val="22"/>
          <w:szCs w:val="24"/>
        </w:rPr>
        <w:t xml:space="preserve">sufficient </w:t>
      </w:r>
      <w:r w:rsidRPr="00AB2A05">
        <w:rPr>
          <w:rFonts w:ascii="Public Sans" w:hAnsi="Public Sans"/>
          <w:sz w:val="22"/>
          <w:szCs w:val="24"/>
        </w:rPr>
        <w:t xml:space="preserve">safeguard from abuse that would warrant the barrier that they would present to getting EPOAs in place. </w:t>
      </w:r>
    </w:p>
    <w:p w14:paraId="305B37C4" w14:textId="77777777" w:rsidR="004A2D9B" w:rsidRDefault="004A2D9B" w:rsidP="005B1901">
      <w:pPr>
        <w:rPr>
          <w:rFonts w:ascii="Public Sans" w:hAnsi="Public Sans"/>
          <w:sz w:val="22"/>
          <w:szCs w:val="24"/>
        </w:rPr>
      </w:pPr>
    </w:p>
    <w:p w14:paraId="2C858D31" w14:textId="77777777" w:rsidR="004A2D9B" w:rsidRDefault="004A2D9B" w:rsidP="005B1901">
      <w:pPr>
        <w:rPr>
          <w:rFonts w:ascii="Public Sans" w:hAnsi="Public Sans"/>
          <w:sz w:val="22"/>
          <w:szCs w:val="24"/>
        </w:rPr>
      </w:pPr>
      <w:r>
        <w:rPr>
          <w:rFonts w:ascii="Public Sans" w:hAnsi="Public Sans"/>
          <w:sz w:val="22"/>
          <w:szCs w:val="24"/>
        </w:rPr>
        <w:t>The introduction of clear and plain language guidance for attorneys, coupled with the requirement to sign undertakings, would be a significant improvement that would help to:</w:t>
      </w:r>
    </w:p>
    <w:p w14:paraId="7C60C486" w14:textId="5721F997" w:rsidR="005B1901" w:rsidRDefault="004A2D9B" w:rsidP="001C4974">
      <w:pPr>
        <w:pStyle w:val="ListParagraph0"/>
        <w:numPr>
          <w:ilvl w:val="0"/>
          <w:numId w:val="36"/>
        </w:numPr>
        <w:spacing w:before="60" w:after="0" w:line="240" w:lineRule="auto"/>
        <w:ind w:left="771" w:hanging="357"/>
        <w:rPr>
          <w:rFonts w:ascii="Public Sans" w:hAnsi="Public Sans"/>
          <w:sz w:val="22"/>
        </w:rPr>
      </w:pPr>
      <w:r>
        <w:rPr>
          <w:rFonts w:ascii="Public Sans" w:hAnsi="Public Sans"/>
          <w:sz w:val="22"/>
        </w:rPr>
        <w:t xml:space="preserve">better ensure that attorneys are clear from the outset </w:t>
      </w:r>
      <w:r w:rsidR="00B3484C">
        <w:rPr>
          <w:rFonts w:ascii="Public Sans" w:hAnsi="Public Sans"/>
          <w:sz w:val="22"/>
        </w:rPr>
        <w:t>as to</w:t>
      </w:r>
      <w:r>
        <w:rPr>
          <w:rFonts w:ascii="Public Sans" w:hAnsi="Public Sans"/>
          <w:sz w:val="22"/>
        </w:rPr>
        <w:t xml:space="preserve"> what they can and cannot do with the EPOA</w:t>
      </w:r>
    </w:p>
    <w:p w14:paraId="3F4F7E61" w14:textId="128590AA" w:rsidR="004A2D9B" w:rsidRDefault="00B3484C" w:rsidP="004A2D9B">
      <w:pPr>
        <w:pStyle w:val="ListParagraph0"/>
        <w:numPr>
          <w:ilvl w:val="0"/>
          <w:numId w:val="36"/>
        </w:numPr>
        <w:spacing w:before="0" w:after="0" w:line="240" w:lineRule="auto"/>
        <w:ind w:left="771" w:hanging="357"/>
        <w:rPr>
          <w:rFonts w:ascii="Public Sans" w:hAnsi="Public Sans"/>
          <w:sz w:val="22"/>
        </w:rPr>
      </w:pPr>
      <w:r>
        <w:rPr>
          <w:rFonts w:ascii="Public Sans" w:hAnsi="Public Sans"/>
          <w:sz w:val="22"/>
        </w:rPr>
        <w:t>reduce the unintentional misuse of EPOAs</w:t>
      </w:r>
    </w:p>
    <w:p w14:paraId="2F722C2C" w14:textId="108ECEE3" w:rsidR="00B3484C" w:rsidRPr="004A2D9B" w:rsidRDefault="00B3484C" w:rsidP="004A2D9B">
      <w:pPr>
        <w:pStyle w:val="ListParagraph0"/>
        <w:numPr>
          <w:ilvl w:val="0"/>
          <w:numId w:val="36"/>
        </w:numPr>
        <w:spacing w:before="0" w:after="0" w:line="240" w:lineRule="auto"/>
        <w:ind w:left="771" w:hanging="357"/>
        <w:rPr>
          <w:rFonts w:ascii="Public Sans" w:hAnsi="Public Sans"/>
          <w:sz w:val="22"/>
        </w:rPr>
      </w:pPr>
      <w:r>
        <w:rPr>
          <w:rFonts w:ascii="Public Sans" w:hAnsi="Public Sans"/>
          <w:sz w:val="22"/>
        </w:rPr>
        <w:t>better hold attorneys to account for misuse of an EPOA.</w:t>
      </w:r>
    </w:p>
    <w:p w14:paraId="05414065" w14:textId="77777777" w:rsidR="004A2D9B" w:rsidRPr="00AB2A05" w:rsidRDefault="004A2D9B" w:rsidP="005B1901">
      <w:pPr>
        <w:rPr>
          <w:rFonts w:ascii="Public Sans" w:hAnsi="Public Sans"/>
          <w:sz w:val="22"/>
          <w:szCs w:val="24"/>
        </w:rPr>
      </w:pPr>
    </w:p>
    <w:p w14:paraId="4E46B22F" w14:textId="44DBF070" w:rsidR="005B1901" w:rsidRDefault="00A76178" w:rsidP="006F7E5E">
      <w:pPr>
        <w:rPr>
          <w:rFonts w:ascii="Public Sans" w:eastAsia="Times New Roman" w:hAnsi="Public Sans" w:cs="Arial"/>
          <w:color w:val="000000"/>
          <w:sz w:val="22"/>
          <w:lang w:eastAsia="en-GB"/>
        </w:rPr>
      </w:pPr>
      <w:r>
        <w:rPr>
          <w:rFonts w:ascii="Public Sans" w:eastAsia="Times New Roman" w:hAnsi="Public Sans" w:cs="Arial"/>
          <w:color w:val="000000"/>
          <w:sz w:val="22"/>
          <w:lang w:eastAsia="en-GB"/>
        </w:rPr>
        <w:t>Reducing the volume of cases in which the attorney has misused the EPOA due to not understanding the requirements would be of obvious benefit to principals but would also assist the work of safeguarding and justice agencies. Currently, many of the reports the ADC handles about misuse of the EPOA of an older person or adult with disability involve attorney</w:t>
      </w:r>
      <w:r w:rsidR="001C2C17">
        <w:rPr>
          <w:rFonts w:ascii="Public Sans" w:eastAsia="Times New Roman" w:hAnsi="Public Sans" w:cs="Arial"/>
          <w:color w:val="000000"/>
          <w:sz w:val="22"/>
          <w:lang w:eastAsia="en-GB"/>
        </w:rPr>
        <w:t>s</w:t>
      </w:r>
      <w:r>
        <w:rPr>
          <w:rFonts w:ascii="Public Sans" w:eastAsia="Times New Roman" w:hAnsi="Public Sans" w:cs="Arial"/>
          <w:color w:val="000000"/>
          <w:sz w:val="22"/>
          <w:lang w:eastAsia="en-GB"/>
        </w:rPr>
        <w:t xml:space="preserve"> who </w:t>
      </w:r>
      <w:r w:rsidR="001C2C17">
        <w:rPr>
          <w:rFonts w:ascii="Public Sans" w:eastAsia="Times New Roman" w:hAnsi="Public Sans" w:cs="Arial"/>
          <w:color w:val="000000"/>
          <w:sz w:val="22"/>
          <w:lang w:eastAsia="en-GB"/>
        </w:rPr>
        <w:t>did</w:t>
      </w:r>
      <w:r>
        <w:rPr>
          <w:rFonts w:ascii="Public Sans" w:eastAsia="Times New Roman" w:hAnsi="Public Sans" w:cs="Arial"/>
          <w:color w:val="000000"/>
          <w:sz w:val="22"/>
          <w:lang w:eastAsia="en-GB"/>
        </w:rPr>
        <w:t xml:space="preserve"> not underst</w:t>
      </w:r>
      <w:r w:rsidR="001C2C17">
        <w:rPr>
          <w:rFonts w:ascii="Public Sans" w:eastAsia="Times New Roman" w:hAnsi="Public Sans" w:cs="Arial"/>
          <w:color w:val="000000"/>
          <w:sz w:val="22"/>
          <w:lang w:eastAsia="en-GB"/>
        </w:rPr>
        <w:t xml:space="preserve">and </w:t>
      </w:r>
      <w:r>
        <w:rPr>
          <w:rFonts w:ascii="Public Sans" w:eastAsia="Times New Roman" w:hAnsi="Public Sans" w:cs="Arial"/>
          <w:color w:val="000000"/>
          <w:sz w:val="22"/>
          <w:lang w:eastAsia="en-GB"/>
        </w:rPr>
        <w:t xml:space="preserve">that their actions were not permitted by the legislation and/or the EPOA – including attorneys </w:t>
      </w:r>
      <w:r w:rsidR="001C2C17">
        <w:rPr>
          <w:rFonts w:ascii="Public Sans" w:eastAsia="Times New Roman" w:hAnsi="Public Sans" w:cs="Arial"/>
          <w:color w:val="000000"/>
          <w:sz w:val="22"/>
          <w:lang w:eastAsia="en-GB"/>
        </w:rPr>
        <w:t>who</w:t>
      </w:r>
      <w:r>
        <w:rPr>
          <w:rFonts w:ascii="Public Sans" w:eastAsia="Times New Roman" w:hAnsi="Public Sans" w:cs="Arial"/>
          <w:color w:val="000000"/>
          <w:sz w:val="22"/>
          <w:lang w:eastAsia="en-GB"/>
        </w:rPr>
        <w:t xml:space="preserve"> have pooled the principal’s bank account with their own</w:t>
      </w:r>
      <w:r w:rsidR="001C2C17">
        <w:rPr>
          <w:rFonts w:ascii="Public Sans" w:eastAsia="Times New Roman" w:hAnsi="Public Sans" w:cs="Arial"/>
          <w:color w:val="000000"/>
          <w:sz w:val="22"/>
          <w:lang w:eastAsia="en-GB"/>
        </w:rPr>
        <w:t xml:space="preserve"> and used the funds for their own purposes. The addition of plain language guidance and required undertakings for attorneys</w:t>
      </w:r>
      <w:r w:rsidR="00FF634C">
        <w:rPr>
          <w:rFonts w:ascii="Public Sans" w:eastAsia="Times New Roman" w:hAnsi="Public Sans" w:cs="Arial"/>
          <w:color w:val="000000"/>
          <w:sz w:val="22"/>
          <w:lang w:eastAsia="en-GB"/>
        </w:rPr>
        <w:t xml:space="preserve"> would make it easier for safeguarding agencies to identify at an early point the cases involving intentional improper use of </w:t>
      </w:r>
      <w:r w:rsidR="00B14D7A">
        <w:rPr>
          <w:rFonts w:ascii="Public Sans" w:eastAsia="Times New Roman" w:hAnsi="Public Sans" w:cs="Arial"/>
          <w:color w:val="000000"/>
          <w:sz w:val="22"/>
          <w:lang w:eastAsia="en-GB"/>
        </w:rPr>
        <w:t xml:space="preserve">an </w:t>
      </w:r>
      <w:r w:rsidR="00FF634C">
        <w:rPr>
          <w:rFonts w:ascii="Public Sans" w:eastAsia="Times New Roman" w:hAnsi="Public Sans" w:cs="Arial"/>
          <w:color w:val="000000"/>
          <w:sz w:val="22"/>
          <w:lang w:eastAsia="en-GB"/>
        </w:rPr>
        <w:t>EPOA, and to take appropriate actions, including referral to police.</w:t>
      </w:r>
      <w:r>
        <w:rPr>
          <w:rFonts w:ascii="Public Sans" w:eastAsia="Times New Roman" w:hAnsi="Public Sans" w:cs="Arial"/>
          <w:color w:val="000000"/>
          <w:sz w:val="22"/>
          <w:lang w:eastAsia="en-GB"/>
        </w:rPr>
        <w:t xml:space="preserve"> </w:t>
      </w:r>
    </w:p>
    <w:p w14:paraId="4245706E" w14:textId="77777777" w:rsidR="00A76178" w:rsidRDefault="00A76178" w:rsidP="006F7E5E">
      <w:pPr>
        <w:rPr>
          <w:rFonts w:ascii="Public Sans" w:eastAsia="Times New Roman" w:hAnsi="Public Sans" w:cs="Arial"/>
          <w:color w:val="000000"/>
          <w:sz w:val="22"/>
          <w:lang w:eastAsia="en-GB"/>
        </w:rPr>
      </w:pPr>
    </w:p>
    <w:p w14:paraId="6AFD3B6E" w14:textId="6FBA4BF5" w:rsidR="007767D9" w:rsidRDefault="00372200" w:rsidP="006F7E5E">
      <w:pPr>
        <w:rPr>
          <w:rFonts w:ascii="Public Sans" w:eastAsia="Times New Roman" w:hAnsi="Public Sans" w:cs="Arial"/>
          <w:color w:val="000000"/>
          <w:sz w:val="22"/>
          <w:lang w:eastAsia="en-GB"/>
        </w:rPr>
      </w:pPr>
      <w:r>
        <w:rPr>
          <w:rFonts w:ascii="Public Sans" w:eastAsia="Times New Roman" w:hAnsi="Public Sans" w:cs="Arial"/>
          <w:color w:val="000000"/>
          <w:sz w:val="22"/>
          <w:lang w:eastAsia="en-GB"/>
        </w:rPr>
        <w:lastRenderedPageBreak/>
        <w:t>In relation to the proposed prescribed information for attorneys, we agree that it should cover the</w:t>
      </w:r>
      <w:r w:rsidR="00573732">
        <w:rPr>
          <w:rFonts w:ascii="Public Sans" w:eastAsia="Times New Roman" w:hAnsi="Public Sans" w:cs="Arial"/>
          <w:color w:val="000000"/>
          <w:sz w:val="22"/>
          <w:lang w:eastAsia="en-GB"/>
        </w:rPr>
        <w:t>ir</w:t>
      </w:r>
      <w:r>
        <w:rPr>
          <w:rFonts w:ascii="Public Sans" w:eastAsia="Times New Roman" w:hAnsi="Public Sans" w:cs="Arial"/>
          <w:color w:val="000000"/>
          <w:sz w:val="22"/>
          <w:lang w:eastAsia="en-GB"/>
        </w:rPr>
        <w:t xml:space="preserve"> </w:t>
      </w:r>
      <w:r w:rsidR="00573732">
        <w:rPr>
          <w:rFonts w:ascii="Public Sans" w:eastAsia="Times New Roman" w:hAnsi="Public Sans" w:cs="Arial"/>
          <w:color w:val="000000"/>
          <w:sz w:val="22"/>
          <w:lang w:eastAsia="en-GB"/>
        </w:rPr>
        <w:t>role and obligations, including the need to understand and follow the specific instructions of the principal set out in the EPOA. We also consider that the information should:</w:t>
      </w:r>
    </w:p>
    <w:p w14:paraId="46473EB2" w14:textId="77C28F24" w:rsidR="00D8049B" w:rsidRPr="00D8049B" w:rsidRDefault="00573732" w:rsidP="00EA6322">
      <w:pPr>
        <w:pStyle w:val="ListParagraph0"/>
        <w:numPr>
          <w:ilvl w:val="0"/>
          <w:numId w:val="37"/>
        </w:numPr>
        <w:spacing w:after="0" w:line="240" w:lineRule="auto"/>
        <w:ind w:left="714" w:hanging="357"/>
        <w:rPr>
          <w:rFonts w:ascii="Public Sans" w:hAnsi="Public Sans" w:cs="Arial"/>
          <w:color w:val="000000"/>
          <w:sz w:val="22"/>
          <w:szCs w:val="22"/>
          <w:lang w:eastAsia="en-GB"/>
        </w:rPr>
      </w:pPr>
      <w:r w:rsidRPr="00573732">
        <w:rPr>
          <w:rFonts w:ascii="Public Sans" w:hAnsi="Public Sans" w:cs="Arial"/>
          <w:color w:val="000000"/>
          <w:sz w:val="22"/>
          <w:lang w:eastAsia="en-GB"/>
        </w:rPr>
        <w:t>provide clear information and practical examples for each of their obligations</w:t>
      </w:r>
      <w:r>
        <w:rPr>
          <w:rFonts w:ascii="Public Sans" w:hAnsi="Public Sans" w:cs="Arial"/>
          <w:color w:val="000000"/>
          <w:sz w:val="22"/>
          <w:lang w:eastAsia="en-GB"/>
        </w:rPr>
        <w:t xml:space="preserve"> and components of the form</w:t>
      </w:r>
      <w:r w:rsidR="00D8049B">
        <w:rPr>
          <w:rFonts w:ascii="Public Sans" w:hAnsi="Public Sans" w:cs="Arial"/>
          <w:color w:val="000000"/>
          <w:sz w:val="22"/>
          <w:lang w:eastAsia="en-GB"/>
        </w:rPr>
        <w:t xml:space="preserve"> – for example</w:t>
      </w:r>
      <w:r>
        <w:rPr>
          <w:rFonts w:ascii="Public Sans" w:hAnsi="Public Sans" w:cs="Arial"/>
          <w:color w:val="000000"/>
          <w:sz w:val="22"/>
          <w:lang w:eastAsia="en-GB"/>
        </w:rPr>
        <w:t>:</w:t>
      </w:r>
    </w:p>
    <w:p w14:paraId="1907B88F" w14:textId="2C1A8BAE" w:rsidR="00573732" w:rsidRPr="00D8049B" w:rsidRDefault="00D8049B" w:rsidP="00EA6322">
      <w:pPr>
        <w:pStyle w:val="ListParagraph0"/>
        <w:numPr>
          <w:ilvl w:val="1"/>
          <w:numId w:val="37"/>
        </w:numPr>
        <w:spacing w:before="60" w:after="0" w:line="240" w:lineRule="auto"/>
        <w:ind w:left="1434" w:hanging="357"/>
        <w:rPr>
          <w:rFonts w:ascii="Public Sans" w:hAnsi="Public Sans" w:cs="Arial"/>
          <w:color w:val="000000"/>
          <w:sz w:val="22"/>
          <w:szCs w:val="22"/>
          <w:lang w:eastAsia="en-GB"/>
        </w:rPr>
      </w:pPr>
      <w:r>
        <w:rPr>
          <w:rFonts w:ascii="Public Sans" w:hAnsi="Public Sans" w:cs="Arial"/>
          <w:color w:val="000000"/>
          <w:sz w:val="22"/>
          <w:lang w:eastAsia="en-GB"/>
        </w:rPr>
        <w:t xml:space="preserve">to enable them to understand how they are to involve </w:t>
      </w:r>
      <w:r w:rsidR="00727D61">
        <w:rPr>
          <w:rFonts w:ascii="Public Sans" w:hAnsi="Public Sans" w:cs="Arial"/>
          <w:color w:val="000000"/>
          <w:sz w:val="22"/>
          <w:lang w:eastAsia="en-GB"/>
        </w:rPr>
        <w:t xml:space="preserve">and support </w:t>
      </w:r>
      <w:r>
        <w:rPr>
          <w:rFonts w:ascii="Public Sans" w:hAnsi="Public Sans" w:cs="Arial"/>
          <w:color w:val="000000"/>
          <w:sz w:val="22"/>
          <w:lang w:eastAsia="en-GB"/>
        </w:rPr>
        <w:t>the principal in the decisions</w:t>
      </w:r>
    </w:p>
    <w:p w14:paraId="295982D8" w14:textId="31957FA0" w:rsidR="00727D61" w:rsidRDefault="00D8049B" w:rsidP="00EA6322">
      <w:pPr>
        <w:pStyle w:val="ListParagraph0"/>
        <w:numPr>
          <w:ilvl w:val="1"/>
          <w:numId w:val="37"/>
        </w:numPr>
        <w:spacing w:before="60" w:after="0" w:line="240" w:lineRule="auto"/>
        <w:ind w:left="1434" w:hanging="357"/>
        <w:rPr>
          <w:rFonts w:ascii="Public Sans" w:hAnsi="Public Sans" w:cs="Arial"/>
          <w:color w:val="000000"/>
          <w:sz w:val="22"/>
          <w:szCs w:val="22"/>
          <w:lang w:eastAsia="en-GB"/>
        </w:rPr>
      </w:pPr>
      <w:r>
        <w:rPr>
          <w:rFonts w:ascii="Public Sans" w:hAnsi="Public Sans" w:cs="Arial"/>
          <w:color w:val="000000"/>
          <w:sz w:val="22"/>
          <w:szCs w:val="22"/>
          <w:lang w:eastAsia="en-GB"/>
        </w:rPr>
        <w:t xml:space="preserve">to clearly illustrate what </w:t>
      </w:r>
      <w:r w:rsidR="00727D61">
        <w:rPr>
          <w:rFonts w:ascii="Public Sans" w:hAnsi="Public Sans" w:cs="Arial"/>
          <w:color w:val="000000"/>
          <w:sz w:val="22"/>
          <w:szCs w:val="22"/>
          <w:lang w:eastAsia="en-GB"/>
        </w:rPr>
        <w:t xml:space="preserve">is meant by </w:t>
      </w:r>
      <w:r>
        <w:rPr>
          <w:rFonts w:ascii="Public Sans" w:hAnsi="Public Sans" w:cs="Arial"/>
          <w:color w:val="000000"/>
          <w:sz w:val="22"/>
          <w:szCs w:val="22"/>
          <w:lang w:eastAsia="en-GB"/>
        </w:rPr>
        <w:t>‘reasonable’ gifts</w:t>
      </w:r>
      <w:r w:rsidR="00727D61">
        <w:rPr>
          <w:rFonts w:ascii="Public Sans" w:hAnsi="Public Sans" w:cs="Arial"/>
          <w:color w:val="000000"/>
          <w:sz w:val="22"/>
          <w:szCs w:val="22"/>
          <w:lang w:eastAsia="en-GB"/>
        </w:rPr>
        <w:t>, and ‘confer benefits’</w:t>
      </w:r>
    </w:p>
    <w:p w14:paraId="4F4DDE9D" w14:textId="4D9959D1" w:rsidR="005E3D2A" w:rsidRPr="00727D61" w:rsidRDefault="005E3D2A" w:rsidP="00EA6322">
      <w:pPr>
        <w:pStyle w:val="ListParagraph0"/>
        <w:numPr>
          <w:ilvl w:val="1"/>
          <w:numId w:val="37"/>
        </w:numPr>
        <w:spacing w:before="60" w:after="0" w:line="240" w:lineRule="auto"/>
        <w:ind w:left="1434" w:hanging="357"/>
        <w:rPr>
          <w:rFonts w:ascii="Public Sans" w:hAnsi="Public Sans" w:cs="Arial"/>
          <w:color w:val="000000"/>
          <w:sz w:val="22"/>
          <w:szCs w:val="22"/>
          <w:lang w:eastAsia="en-GB"/>
        </w:rPr>
      </w:pPr>
      <w:r>
        <w:rPr>
          <w:rFonts w:ascii="Public Sans" w:hAnsi="Public Sans" w:cs="Arial"/>
          <w:color w:val="000000"/>
          <w:sz w:val="22"/>
          <w:szCs w:val="22"/>
          <w:lang w:eastAsia="en-GB"/>
        </w:rPr>
        <w:t>to explain what acting honestly in relation to the principal’s legal and financial affairs involves</w:t>
      </w:r>
    </w:p>
    <w:p w14:paraId="7022A759" w14:textId="0F626340" w:rsidR="00D8049B" w:rsidRDefault="00D8049B" w:rsidP="00EA6322">
      <w:pPr>
        <w:pStyle w:val="ListParagraph0"/>
        <w:numPr>
          <w:ilvl w:val="0"/>
          <w:numId w:val="37"/>
        </w:numPr>
        <w:spacing w:after="0" w:line="240" w:lineRule="auto"/>
        <w:ind w:left="714" w:hanging="357"/>
        <w:rPr>
          <w:rFonts w:ascii="Public Sans" w:hAnsi="Public Sans" w:cs="Arial"/>
          <w:color w:val="000000"/>
          <w:sz w:val="22"/>
          <w:lang w:eastAsia="en-GB"/>
        </w:rPr>
      </w:pPr>
      <w:r>
        <w:rPr>
          <w:rFonts w:ascii="Public Sans" w:hAnsi="Public Sans" w:cs="Arial"/>
          <w:color w:val="000000"/>
          <w:sz w:val="22"/>
          <w:lang w:eastAsia="en-GB"/>
        </w:rPr>
        <w:t xml:space="preserve">be </w:t>
      </w:r>
      <w:r w:rsidR="00C57C71">
        <w:rPr>
          <w:rFonts w:ascii="Public Sans" w:hAnsi="Public Sans" w:cs="Arial"/>
          <w:color w:val="000000"/>
          <w:sz w:val="22"/>
          <w:lang w:eastAsia="en-GB"/>
        </w:rPr>
        <w:t xml:space="preserve">part of, or </w:t>
      </w:r>
      <w:r>
        <w:rPr>
          <w:rFonts w:ascii="Public Sans" w:hAnsi="Public Sans" w:cs="Arial"/>
          <w:color w:val="000000"/>
          <w:sz w:val="22"/>
          <w:lang w:eastAsia="en-GB"/>
        </w:rPr>
        <w:t>attached to</w:t>
      </w:r>
      <w:r w:rsidR="00C57C71">
        <w:rPr>
          <w:rFonts w:ascii="Public Sans" w:hAnsi="Public Sans" w:cs="Arial"/>
          <w:color w:val="000000"/>
          <w:sz w:val="22"/>
          <w:lang w:eastAsia="en-GB"/>
        </w:rPr>
        <w:t>,</w:t>
      </w:r>
      <w:r>
        <w:rPr>
          <w:rFonts w:ascii="Public Sans" w:hAnsi="Public Sans" w:cs="Arial"/>
          <w:color w:val="000000"/>
          <w:sz w:val="22"/>
          <w:lang w:eastAsia="en-GB"/>
        </w:rPr>
        <w:t xml:space="preserve"> the EPOA document they are being asked to sign</w:t>
      </w:r>
      <w:r w:rsidR="00AD74F6">
        <w:rPr>
          <w:rFonts w:ascii="Public Sans" w:hAnsi="Public Sans" w:cs="Arial"/>
          <w:color w:val="000000"/>
          <w:sz w:val="22"/>
          <w:lang w:eastAsia="en-GB"/>
        </w:rPr>
        <w:t>.</w:t>
      </w:r>
    </w:p>
    <w:p w14:paraId="3AFEE500" w14:textId="6636A4C6" w:rsidR="00CE295A" w:rsidRDefault="00CE295A" w:rsidP="006F7E5E">
      <w:pPr>
        <w:rPr>
          <w:rFonts w:ascii="Public Sans" w:eastAsia="Times New Roman" w:hAnsi="Public Sans" w:cs="Arial"/>
          <w:color w:val="000000"/>
          <w:sz w:val="22"/>
          <w:lang w:eastAsia="en-GB"/>
        </w:rPr>
      </w:pPr>
    </w:p>
    <w:p w14:paraId="658F89BF" w14:textId="58010C5E" w:rsidR="00C055F2" w:rsidRPr="000C1631" w:rsidRDefault="00AD74F6" w:rsidP="00C055F2">
      <w:pPr>
        <w:rPr>
          <w:rFonts w:ascii="Public Sans" w:eastAsia="Times New Roman" w:hAnsi="Public Sans" w:cs="Arial"/>
          <w:color w:val="000000"/>
          <w:sz w:val="22"/>
          <w:lang w:eastAsia="en-GB"/>
        </w:rPr>
      </w:pPr>
      <w:r>
        <w:rPr>
          <w:rFonts w:ascii="Public Sans" w:eastAsia="Times New Roman" w:hAnsi="Public Sans" w:cs="Arial"/>
          <w:color w:val="000000"/>
          <w:sz w:val="22"/>
          <w:lang w:eastAsia="en-GB"/>
        </w:rPr>
        <w:t xml:space="preserve">In relation to the latter point, we note that in many cases there can be an extended period of time between the attorney signing the EPOA and the commencement of the instrument. It is critical that the guidance </w:t>
      </w:r>
      <w:r w:rsidR="00C57C71">
        <w:rPr>
          <w:rFonts w:ascii="Public Sans" w:eastAsia="Times New Roman" w:hAnsi="Public Sans" w:cs="Arial"/>
          <w:color w:val="000000"/>
          <w:sz w:val="22"/>
          <w:lang w:eastAsia="en-GB"/>
        </w:rPr>
        <w:t xml:space="preserve">stays with the EPOA, as well as easily publicly accessible, so that the attorney has the reminder and clear information about their obligations at the time that it is needed. </w:t>
      </w:r>
      <w:r w:rsidR="00C055F2" w:rsidRPr="000C1631">
        <w:rPr>
          <w:rFonts w:ascii="Public Sans" w:eastAsia="Times New Roman" w:hAnsi="Public Sans" w:cs="Arial"/>
          <w:color w:val="000000"/>
          <w:sz w:val="22"/>
          <w:lang w:eastAsia="en-GB"/>
        </w:rPr>
        <w:t xml:space="preserve">In our view, ready access to </w:t>
      </w:r>
      <w:r w:rsidR="00C055F2">
        <w:rPr>
          <w:rFonts w:ascii="Public Sans" w:eastAsia="Times New Roman" w:hAnsi="Public Sans" w:cs="Arial"/>
          <w:color w:val="000000"/>
          <w:sz w:val="22"/>
          <w:lang w:eastAsia="en-GB"/>
        </w:rPr>
        <w:t>timely</w:t>
      </w:r>
      <w:r w:rsidR="00C055F2" w:rsidRPr="000C1631">
        <w:rPr>
          <w:rFonts w:ascii="Public Sans" w:eastAsia="Times New Roman" w:hAnsi="Public Sans" w:cs="Arial"/>
          <w:color w:val="000000"/>
          <w:sz w:val="22"/>
          <w:lang w:eastAsia="en-GB"/>
        </w:rPr>
        <w:t xml:space="preserve"> education and information will be more effective in countering mistakes and abuse by attorneys than </w:t>
      </w:r>
      <w:r w:rsidR="00C055F2">
        <w:rPr>
          <w:rFonts w:ascii="Public Sans" w:eastAsia="Times New Roman" w:hAnsi="Public Sans" w:cs="Arial"/>
          <w:color w:val="000000"/>
          <w:sz w:val="22"/>
          <w:lang w:eastAsia="en-GB"/>
        </w:rPr>
        <w:t>introducing witnessing requirements</w:t>
      </w:r>
      <w:r w:rsidR="00C055F2" w:rsidRPr="000C1631">
        <w:rPr>
          <w:rFonts w:ascii="Public Sans" w:eastAsia="Times New Roman" w:hAnsi="Public Sans" w:cs="Arial"/>
          <w:color w:val="000000"/>
          <w:sz w:val="22"/>
          <w:lang w:eastAsia="en-GB"/>
        </w:rPr>
        <w:t>.</w:t>
      </w:r>
    </w:p>
    <w:p w14:paraId="595C2096" w14:textId="4EA455D4" w:rsidR="00AD74F6" w:rsidRDefault="00AD74F6" w:rsidP="006F7E5E">
      <w:pPr>
        <w:rPr>
          <w:rFonts w:ascii="Public Sans" w:eastAsia="Times New Roman" w:hAnsi="Public Sans" w:cs="Arial"/>
          <w:color w:val="000000"/>
          <w:sz w:val="22"/>
          <w:lang w:eastAsia="en-GB"/>
        </w:rPr>
      </w:pPr>
    </w:p>
    <w:p w14:paraId="3B37CBC7" w14:textId="0D811401" w:rsidR="00CE295A" w:rsidRPr="005607AE" w:rsidRDefault="00CE295A" w:rsidP="005607AE">
      <w:pPr>
        <w:pStyle w:val="Heading2"/>
        <w:spacing w:before="0" w:after="200"/>
        <w:rPr>
          <w:rFonts w:ascii="Public Sans" w:hAnsi="Public Sans"/>
          <w:color w:val="002060"/>
          <w:sz w:val="32"/>
          <w:szCs w:val="36"/>
        </w:rPr>
      </w:pPr>
      <w:r w:rsidRPr="005607AE">
        <w:rPr>
          <w:rFonts w:ascii="Public Sans" w:hAnsi="Public Sans"/>
          <w:color w:val="002060"/>
          <w:sz w:val="32"/>
          <w:szCs w:val="36"/>
        </w:rPr>
        <w:t>Revocation of an EPOA</w:t>
      </w:r>
    </w:p>
    <w:p w14:paraId="327DD77A" w14:textId="3024383E" w:rsidR="007F21D2" w:rsidRDefault="007F21D2" w:rsidP="007F21D2">
      <w:pPr>
        <w:rPr>
          <w:rFonts w:ascii="Public Sans" w:eastAsia="Times New Roman" w:hAnsi="Public Sans"/>
          <w:sz w:val="22"/>
          <w:szCs w:val="24"/>
        </w:rPr>
      </w:pPr>
      <w:r>
        <w:rPr>
          <w:rFonts w:ascii="Public Sans" w:eastAsia="Times New Roman" w:hAnsi="Public Sans" w:cs="Arial"/>
          <w:color w:val="000000"/>
          <w:sz w:val="22"/>
          <w:lang w:eastAsia="en-GB"/>
        </w:rPr>
        <w:t xml:space="preserve">In the experience of the ADC, </w:t>
      </w:r>
      <w:r w:rsidRPr="007F21D2">
        <w:rPr>
          <w:rFonts w:ascii="Public Sans" w:eastAsia="Times New Roman" w:hAnsi="Public Sans"/>
          <w:sz w:val="22"/>
          <w:szCs w:val="24"/>
        </w:rPr>
        <w:t xml:space="preserve">it is imperative that the process for principals to revoke an EPOA is as simple as possible. Principals must be able to revoke an EPOA quickly. </w:t>
      </w:r>
    </w:p>
    <w:p w14:paraId="05C40FF0" w14:textId="77777777" w:rsidR="007F21D2" w:rsidRDefault="007F21D2" w:rsidP="007F21D2">
      <w:pPr>
        <w:rPr>
          <w:rFonts w:ascii="Public Sans" w:eastAsia="Times New Roman" w:hAnsi="Public Sans"/>
          <w:sz w:val="22"/>
          <w:szCs w:val="24"/>
        </w:rPr>
      </w:pPr>
    </w:p>
    <w:p w14:paraId="73BE21E0" w14:textId="30DE3485" w:rsidR="00557C77" w:rsidRDefault="00CC77D8" w:rsidP="007F21D2">
      <w:pPr>
        <w:rPr>
          <w:rFonts w:ascii="Public Sans" w:eastAsia="Times New Roman" w:hAnsi="Public Sans"/>
          <w:sz w:val="22"/>
          <w:szCs w:val="24"/>
        </w:rPr>
      </w:pPr>
      <w:r>
        <w:rPr>
          <w:rFonts w:ascii="Public Sans" w:eastAsia="Times New Roman" w:hAnsi="Public Sans"/>
          <w:sz w:val="22"/>
          <w:szCs w:val="24"/>
        </w:rPr>
        <w:t>The ADC</w:t>
      </w:r>
      <w:r w:rsidR="007F21D2">
        <w:rPr>
          <w:rFonts w:ascii="Public Sans" w:eastAsia="Times New Roman" w:hAnsi="Public Sans"/>
          <w:sz w:val="22"/>
          <w:szCs w:val="24"/>
        </w:rPr>
        <w:t xml:space="preserve"> support</w:t>
      </w:r>
      <w:r>
        <w:rPr>
          <w:rFonts w:ascii="Public Sans" w:eastAsia="Times New Roman" w:hAnsi="Public Sans"/>
          <w:sz w:val="22"/>
          <w:szCs w:val="24"/>
        </w:rPr>
        <w:t>s</w:t>
      </w:r>
      <w:r w:rsidR="007F21D2">
        <w:rPr>
          <w:rFonts w:ascii="Public Sans" w:eastAsia="Times New Roman" w:hAnsi="Public Sans"/>
          <w:sz w:val="22"/>
          <w:szCs w:val="24"/>
        </w:rPr>
        <w:t xml:space="preserve"> the use of an approved or prescribed form</w:t>
      </w:r>
      <w:r>
        <w:rPr>
          <w:rFonts w:ascii="Public Sans" w:eastAsia="Times New Roman" w:hAnsi="Public Sans"/>
          <w:sz w:val="22"/>
          <w:szCs w:val="24"/>
        </w:rPr>
        <w:t xml:space="preserve"> to facilitate a simple and </w:t>
      </w:r>
      <w:r w:rsidR="008C1F44">
        <w:rPr>
          <w:rFonts w:ascii="Public Sans" w:eastAsia="Times New Roman" w:hAnsi="Public Sans"/>
          <w:sz w:val="22"/>
          <w:szCs w:val="24"/>
        </w:rPr>
        <w:t>speedy</w:t>
      </w:r>
      <w:r>
        <w:rPr>
          <w:rFonts w:ascii="Public Sans" w:eastAsia="Times New Roman" w:hAnsi="Public Sans"/>
          <w:sz w:val="22"/>
          <w:szCs w:val="24"/>
        </w:rPr>
        <w:t xml:space="preserve"> revocation process for the principal</w:t>
      </w:r>
      <w:r w:rsidR="008C1F44">
        <w:rPr>
          <w:rFonts w:ascii="Public Sans" w:eastAsia="Times New Roman" w:hAnsi="Public Sans"/>
          <w:sz w:val="22"/>
          <w:szCs w:val="24"/>
        </w:rPr>
        <w:t>. But</w:t>
      </w:r>
      <w:r>
        <w:rPr>
          <w:rFonts w:ascii="Public Sans" w:eastAsia="Times New Roman" w:hAnsi="Public Sans"/>
          <w:sz w:val="22"/>
          <w:szCs w:val="24"/>
        </w:rPr>
        <w:t xml:space="preserve"> we do not</w:t>
      </w:r>
      <w:r w:rsidR="007F21D2" w:rsidRPr="007F21D2">
        <w:rPr>
          <w:rFonts w:ascii="Public Sans" w:eastAsia="Times New Roman" w:hAnsi="Public Sans"/>
          <w:sz w:val="22"/>
          <w:szCs w:val="24"/>
        </w:rPr>
        <w:t xml:space="preserve"> agree with introducing witnessing requirements into this process. </w:t>
      </w:r>
      <w:r w:rsidR="007F21D2">
        <w:rPr>
          <w:rFonts w:ascii="Public Sans" w:eastAsia="Times New Roman" w:hAnsi="Public Sans"/>
          <w:sz w:val="22"/>
          <w:szCs w:val="24"/>
        </w:rPr>
        <w:t xml:space="preserve">We </w:t>
      </w:r>
      <w:r>
        <w:rPr>
          <w:rFonts w:ascii="Public Sans" w:eastAsia="Times New Roman" w:hAnsi="Public Sans"/>
          <w:sz w:val="22"/>
          <w:szCs w:val="24"/>
        </w:rPr>
        <w:t>understand</w:t>
      </w:r>
      <w:r w:rsidR="007F21D2">
        <w:rPr>
          <w:rFonts w:ascii="Public Sans" w:eastAsia="Times New Roman" w:hAnsi="Public Sans"/>
          <w:sz w:val="22"/>
          <w:szCs w:val="24"/>
        </w:rPr>
        <w:t xml:space="preserve"> that th</w:t>
      </w:r>
      <w:r w:rsidR="00557C77">
        <w:rPr>
          <w:rFonts w:ascii="Public Sans" w:eastAsia="Times New Roman" w:hAnsi="Public Sans"/>
          <w:sz w:val="22"/>
          <w:szCs w:val="24"/>
        </w:rPr>
        <w:t xml:space="preserve">e </w:t>
      </w:r>
      <w:r w:rsidR="008C1F44">
        <w:rPr>
          <w:rFonts w:ascii="Public Sans" w:eastAsia="Times New Roman" w:hAnsi="Public Sans"/>
          <w:sz w:val="22"/>
          <w:szCs w:val="24"/>
        </w:rPr>
        <w:t xml:space="preserve">proposed </w:t>
      </w:r>
      <w:r w:rsidR="00557C77">
        <w:rPr>
          <w:rFonts w:ascii="Public Sans" w:eastAsia="Times New Roman" w:hAnsi="Public Sans"/>
          <w:sz w:val="22"/>
          <w:szCs w:val="24"/>
        </w:rPr>
        <w:t>witnessing requirements are</w:t>
      </w:r>
      <w:r w:rsidR="007F21D2">
        <w:rPr>
          <w:rFonts w:ascii="Public Sans" w:eastAsia="Times New Roman" w:hAnsi="Public Sans"/>
          <w:sz w:val="22"/>
          <w:szCs w:val="24"/>
        </w:rPr>
        <w:t xml:space="preserve"> intended to mitigate the risk of </w:t>
      </w:r>
      <w:r w:rsidR="00557C77">
        <w:rPr>
          <w:rFonts w:ascii="Public Sans" w:eastAsia="Times New Roman" w:hAnsi="Public Sans"/>
          <w:sz w:val="22"/>
          <w:szCs w:val="24"/>
        </w:rPr>
        <w:t>a coerced revocation or a principal seeking to revoke the instrument when they no longer have legal capacity to do so. However, we note that:</w:t>
      </w:r>
    </w:p>
    <w:p w14:paraId="15A2C54D" w14:textId="62EDC3D3" w:rsidR="007F21D2" w:rsidRPr="00557C77" w:rsidRDefault="00557C77" w:rsidP="00CC77D8">
      <w:pPr>
        <w:pStyle w:val="ListParagraph0"/>
        <w:numPr>
          <w:ilvl w:val="0"/>
          <w:numId w:val="38"/>
        </w:numPr>
        <w:spacing w:after="0" w:line="240" w:lineRule="auto"/>
        <w:ind w:left="714" w:hanging="357"/>
        <w:rPr>
          <w:rFonts w:ascii="Calibri" w:hAnsi="Calibri"/>
        </w:rPr>
      </w:pPr>
      <w:r>
        <w:rPr>
          <w:rFonts w:ascii="Public Sans" w:hAnsi="Public Sans"/>
          <w:sz w:val="22"/>
        </w:rPr>
        <w:t>I</w:t>
      </w:r>
      <w:r w:rsidRPr="00557C77">
        <w:rPr>
          <w:rFonts w:ascii="Public Sans" w:hAnsi="Public Sans"/>
          <w:sz w:val="22"/>
        </w:rPr>
        <w:t>n our experience</w:t>
      </w:r>
      <w:r>
        <w:rPr>
          <w:rFonts w:ascii="Public Sans" w:hAnsi="Public Sans"/>
          <w:sz w:val="22"/>
        </w:rPr>
        <w:t>,</w:t>
      </w:r>
      <w:r w:rsidRPr="00557C77">
        <w:rPr>
          <w:rFonts w:ascii="Public Sans" w:hAnsi="Public Sans"/>
          <w:sz w:val="22"/>
        </w:rPr>
        <w:t xml:space="preserve"> the </w:t>
      </w:r>
      <w:r w:rsidR="007F21D2" w:rsidRPr="00557C77">
        <w:rPr>
          <w:rFonts w:ascii="Public Sans" w:hAnsi="Public Sans"/>
          <w:sz w:val="22"/>
        </w:rPr>
        <w:t>risks to the principal of not being able to revoke their EPOA quickly are much higher than the risk that they will be pressured into revoking when they do</w:t>
      </w:r>
      <w:r w:rsidRPr="00557C77">
        <w:rPr>
          <w:rFonts w:ascii="Public Sans" w:hAnsi="Public Sans"/>
          <w:sz w:val="22"/>
        </w:rPr>
        <w:t xml:space="preserve"> not</w:t>
      </w:r>
      <w:r w:rsidR="007F21D2" w:rsidRPr="00557C77">
        <w:rPr>
          <w:rFonts w:ascii="Public Sans" w:hAnsi="Public Sans"/>
          <w:sz w:val="22"/>
        </w:rPr>
        <w:t xml:space="preserve"> want to.</w:t>
      </w:r>
      <w:r w:rsidR="007F21D2" w:rsidRPr="00557C77">
        <w:rPr>
          <w:sz w:val="22"/>
        </w:rPr>
        <w:t xml:space="preserve"> </w:t>
      </w:r>
    </w:p>
    <w:p w14:paraId="567E5795" w14:textId="5F22B3B9" w:rsidR="00557C77" w:rsidRPr="00CC77D8" w:rsidRDefault="00557C77" w:rsidP="00CC77D8">
      <w:pPr>
        <w:pStyle w:val="ListParagraph0"/>
        <w:numPr>
          <w:ilvl w:val="0"/>
          <w:numId w:val="38"/>
        </w:numPr>
        <w:spacing w:after="0" w:line="240" w:lineRule="auto"/>
        <w:ind w:left="714" w:hanging="357"/>
        <w:rPr>
          <w:rFonts w:ascii="Public Sans" w:hAnsi="Public Sans"/>
        </w:rPr>
      </w:pPr>
      <w:r w:rsidRPr="00CC77D8">
        <w:rPr>
          <w:rFonts w:ascii="Public Sans" w:hAnsi="Public Sans"/>
          <w:sz w:val="22"/>
        </w:rPr>
        <w:t xml:space="preserve">In the event that the principal has revoked the instrument at a time when they did not have legal capacity, there are other safeguards that apply. In particular, when the principal seeks to put in place a replacement EPOA, the witnessing requirements </w:t>
      </w:r>
      <w:r w:rsidR="00CC77D8" w:rsidRPr="00CC77D8">
        <w:rPr>
          <w:rFonts w:ascii="Public Sans" w:hAnsi="Public Sans"/>
          <w:sz w:val="22"/>
        </w:rPr>
        <w:t xml:space="preserve">for executing the instrument provide an opportunity for any capacity concerns to be identified. In addition, </w:t>
      </w:r>
      <w:r w:rsidR="008C1F44">
        <w:rPr>
          <w:rFonts w:ascii="Public Sans" w:hAnsi="Public Sans"/>
          <w:sz w:val="22"/>
        </w:rPr>
        <w:t>the NSW Civil and Administrative Tribunal (</w:t>
      </w:r>
      <w:r w:rsidR="00CC77D8" w:rsidRPr="00CC77D8">
        <w:rPr>
          <w:rFonts w:ascii="Public Sans" w:hAnsi="Public Sans"/>
          <w:sz w:val="22"/>
        </w:rPr>
        <w:t>NCAT</w:t>
      </w:r>
      <w:r w:rsidR="008C1F44">
        <w:rPr>
          <w:rFonts w:ascii="Public Sans" w:hAnsi="Public Sans"/>
          <w:sz w:val="22"/>
        </w:rPr>
        <w:t>)</w:t>
      </w:r>
      <w:r w:rsidR="00CC77D8" w:rsidRPr="00CC77D8">
        <w:rPr>
          <w:rFonts w:ascii="Public Sans" w:hAnsi="Public Sans"/>
          <w:sz w:val="22"/>
        </w:rPr>
        <w:t xml:space="preserve"> has the power to review the revocation of an EPOA. </w:t>
      </w:r>
    </w:p>
    <w:p w14:paraId="060F825C" w14:textId="1C08C270" w:rsidR="007F21D2" w:rsidRDefault="007F21D2" w:rsidP="006F7E5E">
      <w:pPr>
        <w:rPr>
          <w:rFonts w:ascii="Public Sans" w:eastAsia="Times New Roman" w:hAnsi="Public Sans" w:cs="Arial"/>
          <w:color w:val="000000"/>
          <w:sz w:val="22"/>
          <w:lang w:eastAsia="en-GB"/>
        </w:rPr>
      </w:pPr>
    </w:p>
    <w:p w14:paraId="17181350" w14:textId="183AD934" w:rsidR="007F21D2" w:rsidRPr="00AE1B72" w:rsidRDefault="00AE1B72" w:rsidP="00AE1B72">
      <w:pPr>
        <w:pStyle w:val="Heading2"/>
        <w:spacing w:before="0" w:after="200"/>
        <w:rPr>
          <w:rFonts w:ascii="Public Sans" w:hAnsi="Public Sans"/>
          <w:color w:val="002060"/>
          <w:sz w:val="32"/>
        </w:rPr>
      </w:pPr>
      <w:r w:rsidRPr="00AE1B72">
        <w:rPr>
          <w:rFonts w:ascii="Public Sans" w:hAnsi="Public Sans"/>
          <w:color w:val="002060"/>
          <w:sz w:val="32"/>
          <w:szCs w:val="36"/>
        </w:rPr>
        <w:t>Automatic revocation of an EPOA</w:t>
      </w:r>
    </w:p>
    <w:p w14:paraId="10599FDD" w14:textId="27A272B0" w:rsidR="00CE295A" w:rsidRPr="000C1631" w:rsidRDefault="00A0579C" w:rsidP="006F7E5E">
      <w:pPr>
        <w:rPr>
          <w:rFonts w:ascii="Public Sans" w:eastAsia="Times New Roman" w:hAnsi="Public Sans" w:cs="Times New Roman"/>
          <w:sz w:val="22"/>
          <w:lang w:eastAsia="en-GB"/>
        </w:rPr>
      </w:pPr>
      <w:r>
        <w:rPr>
          <w:rFonts w:ascii="Public Sans" w:eastAsia="Times New Roman" w:hAnsi="Public Sans" w:cs="Arial"/>
          <w:color w:val="000000"/>
          <w:sz w:val="22"/>
          <w:lang w:eastAsia="en-GB"/>
        </w:rPr>
        <w:t xml:space="preserve">The ADC supports the proposed elements for a model provision in relation to </w:t>
      </w:r>
      <w:r w:rsidR="00A914EF">
        <w:rPr>
          <w:rFonts w:ascii="Public Sans" w:eastAsia="Times New Roman" w:hAnsi="Public Sans" w:cs="Arial"/>
          <w:color w:val="000000"/>
          <w:sz w:val="22"/>
          <w:lang w:eastAsia="en-GB"/>
        </w:rPr>
        <w:t xml:space="preserve">the </w:t>
      </w:r>
      <w:r>
        <w:rPr>
          <w:rFonts w:ascii="Public Sans" w:eastAsia="Times New Roman" w:hAnsi="Public Sans" w:cs="Arial"/>
          <w:color w:val="000000"/>
          <w:sz w:val="22"/>
          <w:lang w:eastAsia="en-GB"/>
        </w:rPr>
        <w:t xml:space="preserve">automatic revocation of an EPOA. </w:t>
      </w:r>
    </w:p>
    <w:p w14:paraId="69175433" w14:textId="77777777" w:rsidR="00CE295A" w:rsidRPr="000C1631" w:rsidRDefault="00CE295A" w:rsidP="006F7E5E">
      <w:pPr>
        <w:rPr>
          <w:rFonts w:ascii="Public Sans" w:eastAsia="Times New Roman" w:hAnsi="Public Sans" w:cs="Arial"/>
          <w:color w:val="000000"/>
          <w:sz w:val="22"/>
          <w:lang w:eastAsia="en-GB"/>
        </w:rPr>
      </w:pPr>
    </w:p>
    <w:p w14:paraId="6D929AF8" w14:textId="1A74C7E9" w:rsidR="00CE295A" w:rsidRDefault="0076172D" w:rsidP="006F7E5E">
      <w:pPr>
        <w:rPr>
          <w:rFonts w:ascii="Public Sans" w:eastAsia="Times New Roman" w:hAnsi="Public Sans" w:cs="Arial"/>
          <w:color w:val="000000"/>
          <w:sz w:val="22"/>
          <w:lang w:eastAsia="en-GB"/>
        </w:rPr>
      </w:pPr>
      <w:r>
        <w:rPr>
          <w:rFonts w:ascii="Public Sans" w:eastAsia="Times New Roman" w:hAnsi="Public Sans" w:cs="Arial"/>
          <w:color w:val="000000"/>
          <w:sz w:val="22"/>
          <w:lang w:eastAsia="en-GB"/>
        </w:rPr>
        <w:t xml:space="preserve">We </w:t>
      </w:r>
      <w:r w:rsidR="00A914EF">
        <w:rPr>
          <w:rFonts w:ascii="Public Sans" w:eastAsia="Times New Roman" w:hAnsi="Public Sans" w:cs="Arial"/>
          <w:color w:val="000000"/>
          <w:sz w:val="22"/>
          <w:lang w:eastAsia="en-GB"/>
        </w:rPr>
        <w:t xml:space="preserve">generally </w:t>
      </w:r>
      <w:r>
        <w:rPr>
          <w:rFonts w:ascii="Public Sans" w:eastAsia="Times New Roman" w:hAnsi="Public Sans" w:cs="Arial"/>
          <w:color w:val="000000"/>
          <w:sz w:val="22"/>
          <w:lang w:eastAsia="en-GB"/>
        </w:rPr>
        <w:t xml:space="preserve">support the proposal that an EPOA would be revoked at the time that a new EPOA is executed unless the principal specifies otherwise. In </w:t>
      </w:r>
      <w:r w:rsidR="00CE295A" w:rsidRPr="000C1631">
        <w:rPr>
          <w:rFonts w:ascii="Public Sans" w:eastAsia="Times New Roman" w:hAnsi="Public Sans" w:cs="Arial"/>
          <w:color w:val="000000"/>
          <w:sz w:val="22"/>
          <w:lang w:eastAsia="en-GB"/>
        </w:rPr>
        <w:t>our experience</w:t>
      </w:r>
      <w:r>
        <w:rPr>
          <w:rFonts w:ascii="Public Sans" w:eastAsia="Times New Roman" w:hAnsi="Public Sans" w:cs="Arial"/>
          <w:color w:val="000000"/>
          <w:sz w:val="22"/>
          <w:lang w:eastAsia="en-GB"/>
        </w:rPr>
        <w:t xml:space="preserve">, </w:t>
      </w:r>
      <w:r w:rsidR="00CE295A" w:rsidRPr="000C1631">
        <w:rPr>
          <w:rFonts w:ascii="Public Sans" w:eastAsia="Times New Roman" w:hAnsi="Public Sans" w:cs="Arial"/>
          <w:color w:val="000000"/>
          <w:sz w:val="22"/>
          <w:lang w:eastAsia="en-GB"/>
        </w:rPr>
        <w:t xml:space="preserve">principals </w:t>
      </w:r>
      <w:r>
        <w:rPr>
          <w:rFonts w:ascii="Public Sans" w:eastAsia="Times New Roman" w:hAnsi="Public Sans" w:cs="Arial"/>
          <w:color w:val="000000"/>
          <w:sz w:val="22"/>
          <w:lang w:eastAsia="en-GB"/>
        </w:rPr>
        <w:t>in a range of cases can be</w:t>
      </w:r>
      <w:r w:rsidR="00CE295A" w:rsidRPr="000C1631">
        <w:rPr>
          <w:rFonts w:ascii="Public Sans" w:eastAsia="Times New Roman" w:hAnsi="Public Sans" w:cs="Arial"/>
          <w:color w:val="000000"/>
          <w:sz w:val="22"/>
          <w:lang w:eastAsia="en-GB"/>
        </w:rPr>
        <w:t xml:space="preserve"> reluctant to inform </w:t>
      </w:r>
      <w:r w:rsidR="004401FD">
        <w:rPr>
          <w:rFonts w:ascii="Public Sans" w:eastAsia="Times New Roman" w:hAnsi="Public Sans" w:cs="Arial"/>
          <w:color w:val="000000"/>
          <w:sz w:val="22"/>
          <w:lang w:eastAsia="en-GB"/>
        </w:rPr>
        <w:t xml:space="preserve">the </w:t>
      </w:r>
      <w:r w:rsidR="00CE295A" w:rsidRPr="000C1631">
        <w:rPr>
          <w:rFonts w:ascii="Public Sans" w:eastAsia="Times New Roman" w:hAnsi="Public Sans" w:cs="Arial"/>
          <w:color w:val="000000"/>
          <w:sz w:val="22"/>
          <w:lang w:eastAsia="en-GB"/>
        </w:rPr>
        <w:t xml:space="preserve">attorney that they </w:t>
      </w:r>
      <w:r>
        <w:rPr>
          <w:rFonts w:ascii="Public Sans" w:eastAsia="Times New Roman" w:hAnsi="Public Sans" w:cs="Arial"/>
          <w:color w:val="000000"/>
          <w:sz w:val="22"/>
          <w:lang w:eastAsia="en-GB"/>
        </w:rPr>
        <w:t xml:space="preserve">have revoked the EPOA, particularly in circumstances where the attorney </w:t>
      </w:r>
      <w:r w:rsidR="00A914EF">
        <w:rPr>
          <w:rFonts w:ascii="Public Sans" w:eastAsia="Times New Roman" w:hAnsi="Public Sans" w:cs="Arial"/>
          <w:color w:val="000000"/>
          <w:sz w:val="22"/>
          <w:lang w:eastAsia="en-GB"/>
        </w:rPr>
        <w:t>is a family member and/or where the principal is afraid of the consequences</w:t>
      </w:r>
      <w:r w:rsidR="00CE295A" w:rsidRPr="000C1631">
        <w:rPr>
          <w:rFonts w:ascii="Public Sans" w:eastAsia="Times New Roman" w:hAnsi="Public Sans" w:cs="Arial"/>
          <w:color w:val="000000"/>
          <w:sz w:val="22"/>
          <w:lang w:eastAsia="en-GB"/>
        </w:rPr>
        <w:t xml:space="preserve">. The proposal </w:t>
      </w:r>
      <w:r w:rsidR="00A914EF">
        <w:rPr>
          <w:rFonts w:ascii="Public Sans" w:eastAsia="Times New Roman" w:hAnsi="Public Sans" w:cs="Arial"/>
          <w:color w:val="000000"/>
          <w:sz w:val="22"/>
          <w:lang w:eastAsia="en-GB"/>
        </w:rPr>
        <w:t>for automatic revocation may</w:t>
      </w:r>
      <w:r w:rsidR="00CE295A" w:rsidRPr="000C1631">
        <w:rPr>
          <w:rFonts w:ascii="Public Sans" w:eastAsia="Times New Roman" w:hAnsi="Public Sans" w:cs="Arial"/>
          <w:color w:val="000000"/>
          <w:sz w:val="22"/>
          <w:lang w:eastAsia="en-GB"/>
        </w:rPr>
        <w:t xml:space="preserve"> </w:t>
      </w:r>
      <w:r w:rsidR="00A914EF">
        <w:rPr>
          <w:rFonts w:ascii="Public Sans" w:eastAsia="Times New Roman" w:hAnsi="Public Sans" w:cs="Arial"/>
          <w:color w:val="000000"/>
          <w:sz w:val="22"/>
          <w:lang w:eastAsia="en-GB"/>
        </w:rPr>
        <w:lastRenderedPageBreak/>
        <w:t xml:space="preserve">alleviate this issue if </w:t>
      </w:r>
      <w:r w:rsidR="004401FD">
        <w:rPr>
          <w:rFonts w:ascii="Public Sans" w:eastAsia="Times New Roman" w:hAnsi="Public Sans" w:cs="Arial"/>
          <w:color w:val="000000"/>
          <w:sz w:val="22"/>
          <w:lang w:eastAsia="en-GB"/>
        </w:rPr>
        <w:t>notification of the old attorney was undertaken</w:t>
      </w:r>
      <w:r w:rsidR="00CE295A" w:rsidRPr="000C1631">
        <w:rPr>
          <w:rFonts w:ascii="Public Sans" w:eastAsia="Times New Roman" w:hAnsi="Public Sans" w:cs="Arial"/>
          <w:color w:val="000000"/>
          <w:sz w:val="22"/>
          <w:lang w:eastAsia="en-GB"/>
        </w:rPr>
        <w:t xml:space="preserve"> by the new attorney and proven by the production of the new instrument.  </w:t>
      </w:r>
    </w:p>
    <w:p w14:paraId="0D260333" w14:textId="06556EEF" w:rsidR="00194891" w:rsidRDefault="00194891" w:rsidP="006F7E5E">
      <w:pPr>
        <w:rPr>
          <w:rFonts w:ascii="Public Sans" w:eastAsia="Times New Roman" w:hAnsi="Public Sans" w:cs="Arial"/>
          <w:color w:val="000000"/>
          <w:sz w:val="22"/>
          <w:lang w:eastAsia="en-GB"/>
        </w:rPr>
      </w:pPr>
    </w:p>
    <w:p w14:paraId="5ECFAC90" w14:textId="0628728F" w:rsidR="00914161" w:rsidRDefault="00194891" w:rsidP="006F7E5E">
      <w:pPr>
        <w:rPr>
          <w:rFonts w:ascii="Public Sans" w:eastAsia="Times New Roman" w:hAnsi="Public Sans" w:cs="Arial"/>
          <w:color w:val="000000"/>
          <w:sz w:val="22"/>
          <w:lang w:eastAsia="en-GB"/>
        </w:rPr>
      </w:pPr>
      <w:r>
        <w:rPr>
          <w:rFonts w:ascii="Public Sans" w:eastAsia="Times New Roman" w:hAnsi="Public Sans" w:cs="Arial"/>
          <w:color w:val="000000"/>
          <w:sz w:val="22"/>
          <w:lang w:eastAsia="en-GB"/>
        </w:rPr>
        <w:t xml:space="preserve">NSW law already provides that </w:t>
      </w:r>
      <w:r w:rsidR="00B151EB">
        <w:rPr>
          <w:rFonts w:ascii="Public Sans" w:eastAsia="Times New Roman" w:hAnsi="Public Sans" w:cs="Arial"/>
          <w:color w:val="000000"/>
          <w:sz w:val="22"/>
          <w:lang w:eastAsia="en-GB"/>
        </w:rPr>
        <w:t>there is a vacancy in the office of an attorney if the attorney becomes bankrupt</w:t>
      </w:r>
      <w:r w:rsidR="002B3A71">
        <w:rPr>
          <w:rFonts w:ascii="Public Sans" w:eastAsia="Times New Roman" w:hAnsi="Public Sans" w:cs="Arial"/>
          <w:color w:val="000000"/>
          <w:sz w:val="22"/>
          <w:lang w:eastAsia="en-GB"/>
        </w:rPr>
        <w:t xml:space="preserve">, and we consider that this should continue to be the case. We also support the proposal in the consultation paper that grounds for automatic revocation should include where an attorney is convicted or found guilty of an offence involving dishonesty. </w:t>
      </w:r>
      <w:r w:rsidR="00914161">
        <w:rPr>
          <w:rFonts w:ascii="Public Sans" w:eastAsia="Times New Roman" w:hAnsi="Public Sans" w:cs="Arial"/>
          <w:color w:val="000000"/>
          <w:sz w:val="22"/>
          <w:lang w:eastAsia="en-GB"/>
        </w:rPr>
        <w:t xml:space="preserve">However, </w:t>
      </w:r>
      <w:r w:rsidR="00791F31">
        <w:rPr>
          <w:rFonts w:ascii="Public Sans" w:eastAsia="Times New Roman" w:hAnsi="Public Sans" w:cs="Arial"/>
          <w:color w:val="000000"/>
          <w:sz w:val="22"/>
          <w:lang w:eastAsia="en-GB"/>
        </w:rPr>
        <w:t xml:space="preserve">we do not support including the other events (relating to domestic and family violence) as additional grounds for revocation. We discuss this further in the following section.  </w:t>
      </w:r>
    </w:p>
    <w:p w14:paraId="2C501B8C" w14:textId="77777777" w:rsidR="00CE295A" w:rsidRPr="000C1631" w:rsidRDefault="00CE295A" w:rsidP="006F7E5E">
      <w:pPr>
        <w:rPr>
          <w:rFonts w:ascii="Public Sans" w:eastAsia="Times New Roman" w:hAnsi="Public Sans" w:cs="Times New Roman"/>
          <w:sz w:val="22"/>
          <w:lang w:eastAsia="en-GB"/>
        </w:rPr>
      </w:pPr>
      <w:r w:rsidRPr="000C1631">
        <w:rPr>
          <w:rFonts w:ascii="Public Sans" w:eastAsia="Times New Roman" w:hAnsi="Public Sans" w:cs="Arial"/>
          <w:color w:val="000000"/>
          <w:sz w:val="22"/>
          <w:lang w:eastAsia="en-GB"/>
        </w:rPr>
        <w:t> </w:t>
      </w:r>
    </w:p>
    <w:p w14:paraId="183DA2A7" w14:textId="16A21116" w:rsidR="00CE295A" w:rsidRPr="00791F31" w:rsidRDefault="00CE295A" w:rsidP="00791F31">
      <w:pPr>
        <w:pStyle w:val="Heading2"/>
        <w:spacing w:before="0" w:after="200"/>
        <w:rPr>
          <w:rFonts w:ascii="Public Sans" w:hAnsi="Public Sans" w:cs="Times New Roman"/>
          <w:color w:val="002060"/>
          <w:sz w:val="32"/>
          <w:szCs w:val="36"/>
        </w:rPr>
      </w:pPr>
      <w:r w:rsidRPr="00791F31">
        <w:rPr>
          <w:rFonts w:ascii="Public Sans" w:hAnsi="Public Sans"/>
          <w:color w:val="002060"/>
          <w:sz w:val="32"/>
          <w:szCs w:val="36"/>
        </w:rPr>
        <w:t xml:space="preserve">Attorney </w:t>
      </w:r>
      <w:r w:rsidR="00AC4705">
        <w:rPr>
          <w:rFonts w:ascii="Public Sans" w:hAnsi="Public Sans"/>
          <w:color w:val="002060"/>
          <w:sz w:val="32"/>
          <w:szCs w:val="36"/>
        </w:rPr>
        <w:t>e</w:t>
      </w:r>
      <w:r w:rsidRPr="00791F31">
        <w:rPr>
          <w:rFonts w:ascii="Public Sans" w:hAnsi="Public Sans"/>
          <w:color w:val="002060"/>
          <w:sz w:val="32"/>
          <w:szCs w:val="36"/>
        </w:rPr>
        <w:t xml:space="preserve">ligibility </w:t>
      </w:r>
    </w:p>
    <w:p w14:paraId="0B36E590" w14:textId="6A247812" w:rsidR="00686590" w:rsidRDefault="00686590" w:rsidP="006F7E5E">
      <w:pPr>
        <w:rPr>
          <w:rFonts w:ascii="Public Sans" w:eastAsia="Times New Roman" w:hAnsi="Public Sans" w:cs="Arial"/>
          <w:color w:val="000000"/>
          <w:sz w:val="22"/>
          <w:lang w:eastAsia="en-GB"/>
        </w:rPr>
      </w:pPr>
      <w:r>
        <w:rPr>
          <w:rFonts w:ascii="Public Sans" w:eastAsia="Times New Roman" w:hAnsi="Public Sans" w:cs="Arial"/>
          <w:color w:val="000000"/>
          <w:sz w:val="22"/>
          <w:lang w:eastAsia="en-GB"/>
        </w:rPr>
        <w:t xml:space="preserve">The ADC supports the proposed restrictions based on age, decision-making and witness to an EPOA; they are largely consistent with current NSW arrangements. </w:t>
      </w:r>
    </w:p>
    <w:p w14:paraId="141F28F4" w14:textId="0A72C706" w:rsidR="00686590" w:rsidRDefault="00686590" w:rsidP="006F7E5E">
      <w:pPr>
        <w:rPr>
          <w:rFonts w:ascii="Public Sans" w:eastAsia="Times New Roman" w:hAnsi="Public Sans" w:cs="Arial"/>
          <w:color w:val="000000"/>
          <w:sz w:val="22"/>
          <w:lang w:eastAsia="en-GB"/>
        </w:rPr>
      </w:pPr>
    </w:p>
    <w:p w14:paraId="31458869" w14:textId="38E3AE03" w:rsidR="00686590" w:rsidRPr="000C1631" w:rsidRDefault="00686590" w:rsidP="00686590">
      <w:pPr>
        <w:rPr>
          <w:rFonts w:ascii="Public Sans" w:eastAsia="Times New Roman" w:hAnsi="Public Sans" w:cs="Arial"/>
          <w:color w:val="000000"/>
          <w:sz w:val="22"/>
          <w:lang w:eastAsia="en-GB"/>
        </w:rPr>
      </w:pPr>
      <w:r>
        <w:rPr>
          <w:rFonts w:ascii="Public Sans" w:eastAsia="Times New Roman" w:hAnsi="Public Sans" w:cs="Arial"/>
          <w:color w:val="000000"/>
          <w:sz w:val="22"/>
          <w:lang w:eastAsia="en-GB"/>
        </w:rPr>
        <w:t>We a</w:t>
      </w:r>
      <w:r w:rsidR="003852CE">
        <w:rPr>
          <w:rFonts w:ascii="Public Sans" w:eastAsia="Times New Roman" w:hAnsi="Public Sans" w:cs="Arial"/>
          <w:color w:val="000000"/>
          <w:sz w:val="22"/>
          <w:lang w:eastAsia="en-GB"/>
        </w:rPr>
        <w:t>gree with</w:t>
      </w:r>
      <w:r>
        <w:rPr>
          <w:rFonts w:ascii="Public Sans" w:eastAsia="Times New Roman" w:hAnsi="Public Sans" w:cs="Arial"/>
          <w:color w:val="000000"/>
          <w:sz w:val="22"/>
          <w:lang w:eastAsia="en-GB"/>
        </w:rPr>
        <w:t xml:space="preserve"> the proposed restrictions based on paid carers, health providers and accommodation providers. The </w:t>
      </w:r>
      <w:r w:rsidRPr="000C1631">
        <w:rPr>
          <w:rFonts w:ascii="Public Sans" w:eastAsia="Times New Roman" w:hAnsi="Public Sans" w:cs="Arial"/>
          <w:color w:val="000000"/>
          <w:sz w:val="22"/>
          <w:lang w:eastAsia="en-GB"/>
        </w:rPr>
        <w:t xml:space="preserve">ADC has </w:t>
      </w:r>
      <w:r>
        <w:rPr>
          <w:rFonts w:ascii="Public Sans" w:eastAsia="Times New Roman" w:hAnsi="Public Sans" w:cs="Arial"/>
          <w:color w:val="000000"/>
          <w:sz w:val="22"/>
          <w:lang w:eastAsia="en-GB"/>
        </w:rPr>
        <w:t xml:space="preserve">handled a range of cases involving financial abuse and misuse of EPOA in which </w:t>
      </w:r>
      <w:r w:rsidRPr="000C1631">
        <w:rPr>
          <w:rFonts w:ascii="Public Sans" w:eastAsia="Times New Roman" w:hAnsi="Public Sans" w:cs="Arial"/>
          <w:color w:val="000000"/>
          <w:sz w:val="22"/>
          <w:lang w:eastAsia="en-GB"/>
        </w:rPr>
        <w:t xml:space="preserve">paid support workers </w:t>
      </w:r>
      <w:r>
        <w:rPr>
          <w:rFonts w:ascii="Public Sans" w:eastAsia="Times New Roman" w:hAnsi="Public Sans" w:cs="Arial"/>
          <w:color w:val="000000"/>
          <w:sz w:val="22"/>
          <w:lang w:eastAsia="en-GB"/>
        </w:rPr>
        <w:t>have effectively ‘</w:t>
      </w:r>
      <w:r w:rsidRPr="000C1631">
        <w:rPr>
          <w:rFonts w:ascii="Public Sans" w:eastAsia="Times New Roman" w:hAnsi="Public Sans" w:cs="Arial"/>
          <w:color w:val="000000"/>
          <w:sz w:val="22"/>
          <w:lang w:eastAsia="en-GB"/>
        </w:rPr>
        <w:t>groom</w:t>
      </w:r>
      <w:r>
        <w:rPr>
          <w:rFonts w:ascii="Public Sans" w:eastAsia="Times New Roman" w:hAnsi="Public Sans" w:cs="Arial"/>
          <w:color w:val="000000"/>
          <w:sz w:val="22"/>
          <w:lang w:eastAsia="en-GB"/>
        </w:rPr>
        <w:t>ed’</w:t>
      </w:r>
      <w:r w:rsidRPr="000C1631">
        <w:rPr>
          <w:rFonts w:ascii="Public Sans" w:eastAsia="Times New Roman" w:hAnsi="Public Sans" w:cs="Arial"/>
          <w:color w:val="000000"/>
          <w:sz w:val="22"/>
          <w:lang w:eastAsia="en-GB"/>
        </w:rPr>
        <w:t xml:space="preserve"> principals to </w:t>
      </w:r>
      <w:r>
        <w:rPr>
          <w:rFonts w:ascii="Public Sans" w:eastAsia="Times New Roman" w:hAnsi="Public Sans" w:cs="Arial"/>
          <w:color w:val="000000"/>
          <w:sz w:val="22"/>
          <w:lang w:eastAsia="en-GB"/>
        </w:rPr>
        <w:t>be appointed as attorney</w:t>
      </w:r>
      <w:r w:rsidR="00E46ABB">
        <w:rPr>
          <w:rFonts w:ascii="Public Sans" w:eastAsia="Times New Roman" w:hAnsi="Public Sans" w:cs="Arial"/>
          <w:color w:val="000000"/>
          <w:sz w:val="22"/>
          <w:lang w:eastAsia="en-GB"/>
        </w:rPr>
        <w:t xml:space="preserve"> and to gain financial benefit</w:t>
      </w:r>
      <w:r w:rsidR="00E271B7">
        <w:rPr>
          <w:rFonts w:ascii="Public Sans" w:eastAsia="Times New Roman" w:hAnsi="Public Sans" w:cs="Arial"/>
          <w:color w:val="000000"/>
          <w:sz w:val="22"/>
          <w:lang w:eastAsia="en-GB"/>
        </w:rPr>
        <w:t>. In this context, w</w:t>
      </w:r>
      <w:r w:rsidRPr="000C1631">
        <w:rPr>
          <w:rFonts w:ascii="Public Sans" w:eastAsia="Times New Roman" w:hAnsi="Public Sans" w:cs="Arial"/>
          <w:color w:val="000000"/>
          <w:sz w:val="22"/>
          <w:lang w:eastAsia="en-GB"/>
        </w:rPr>
        <w:t xml:space="preserve">e </w:t>
      </w:r>
      <w:r w:rsidR="00E271B7">
        <w:rPr>
          <w:rFonts w:ascii="Public Sans" w:eastAsia="Times New Roman" w:hAnsi="Public Sans" w:cs="Arial"/>
          <w:color w:val="000000"/>
          <w:sz w:val="22"/>
          <w:lang w:eastAsia="en-GB"/>
        </w:rPr>
        <w:t>consider</w:t>
      </w:r>
      <w:r w:rsidRPr="000C1631">
        <w:rPr>
          <w:rFonts w:ascii="Public Sans" w:eastAsia="Times New Roman" w:hAnsi="Public Sans" w:cs="Arial"/>
          <w:color w:val="000000"/>
          <w:sz w:val="22"/>
          <w:lang w:eastAsia="en-GB"/>
        </w:rPr>
        <w:t xml:space="preserve"> that </w:t>
      </w:r>
      <w:r w:rsidR="00522726">
        <w:rPr>
          <w:rFonts w:ascii="Public Sans" w:eastAsia="Times New Roman" w:hAnsi="Public Sans" w:cs="Arial"/>
          <w:color w:val="000000"/>
          <w:sz w:val="22"/>
          <w:lang w:eastAsia="en-GB"/>
        </w:rPr>
        <w:t xml:space="preserve">parties that have provided </w:t>
      </w:r>
      <w:r w:rsidR="00E271B7">
        <w:rPr>
          <w:rFonts w:ascii="Public Sans" w:eastAsia="Times New Roman" w:hAnsi="Public Sans" w:cs="Arial"/>
          <w:color w:val="000000"/>
          <w:sz w:val="22"/>
          <w:lang w:eastAsia="en-GB"/>
        </w:rPr>
        <w:t xml:space="preserve">paid </w:t>
      </w:r>
      <w:r w:rsidRPr="000C1631">
        <w:rPr>
          <w:rFonts w:ascii="Public Sans" w:eastAsia="Times New Roman" w:hAnsi="Public Sans" w:cs="Arial"/>
          <w:color w:val="000000"/>
          <w:sz w:val="22"/>
          <w:lang w:eastAsia="en-GB"/>
        </w:rPr>
        <w:t xml:space="preserve">health, </w:t>
      </w:r>
      <w:r w:rsidR="00522726">
        <w:rPr>
          <w:rFonts w:ascii="Public Sans" w:eastAsia="Times New Roman" w:hAnsi="Public Sans" w:cs="Arial"/>
          <w:color w:val="000000"/>
          <w:sz w:val="22"/>
          <w:lang w:eastAsia="en-GB"/>
        </w:rPr>
        <w:t>care</w:t>
      </w:r>
      <w:r w:rsidRPr="000C1631">
        <w:rPr>
          <w:rFonts w:ascii="Public Sans" w:eastAsia="Times New Roman" w:hAnsi="Public Sans" w:cs="Arial"/>
          <w:color w:val="000000"/>
          <w:sz w:val="22"/>
          <w:lang w:eastAsia="en-GB"/>
        </w:rPr>
        <w:t xml:space="preserve"> or accommodation s</w:t>
      </w:r>
      <w:r w:rsidR="00522726">
        <w:rPr>
          <w:rFonts w:ascii="Public Sans" w:eastAsia="Times New Roman" w:hAnsi="Public Sans" w:cs="Arial"/>
          <w:color w:val="000000"/>
          <w:sz w:val="22"/>
          <w:lang w:eastAsia="en-GB"/>
        </w:rPr>
        <w:t>ervices</w:t>
      </w:r>
      <w:r w:rsidR="00E271B7">
        <w:rPr>
          <w:rFonts w:ascii="Public Sans" w:eastAsia="Times New Roman" w:hAnsi="Public Sans" w:cs="Arial"/>
          <w:color w:val="000000"/>
          <w:sz w:val="22"/>
          <w:lang w:eastAsia="en-GB"/>
        </w:rPr>
        <w:t xml:space="preserve"> </w:t>
      </w:r>
      <w:r w:rsidR="00522726">
        <w:rPr>
          <w:rFonts w:ascii="Public Sans" w:eastAsia="Times New Roman" w:hAnsi="Public Sans" w:cs="Arial"/>
          <w:color w:val="000000"/>
          <w:sz w:val="22"/>
          <w:lang w:eastAsia="en-GB"/>
        </w:rPr>
        <w:t xml:space="preserve">to the principal </w:t>
      </w:r>
      <w:r w:rsidRPr="000C1631">
        <w:rPr>
          <w:rFonts w:ascii="Public Sans" w:eastAsia="Times New Roman" w:hAnsi="Public Sans" w:cs="Arial"/>
          <w:color w:val="000000"/>
          <w:sz w:val="22"/>
          <w:lang w:eastAsia="en-GB"/>
        </w:rPr>
        <w:t xml:space="preserve">should remain ineligible for appointment </w:t>
      </w:r>
      <w:r w:rsidR="00522726">
        <w:rPr>
          <w:rFonts w:ascii="Public Sans" w:eastAsia="Times New Roman" w:hAnsi="Public Sans" w:cs="Arial"/>
          <w:color w:val="000000"/>
          <w:sz w:val="22"/>
          <w:lang w:eastAsia="en-GB"/>
        </w:rPr>
        <w:t xml:space="preserve">as attorney </w:t>
      </w:r>
      <w:r w:rsidRPr="000C1631">
        <w:rPr>
          <w:rFonts w:ascii="Public Sans" w:eastAsia="Times New Roman" w:hAnsi="Public Sans" w:cs="Arial"/>
          <w:color w:val="000000"/>
          <w:sz w:val="22"/>
          <w:lang w:eastAsia="en-GB"/>
        </w:rPr>
        <w:t xml:space="preserve">for a period of at least two years after they </w:t>
      </w:r>
      <w:r w:rsidR="00E271B7">
        <w:rPr>
          <w:rFonts w:ascii="Public Sans" w:eastAsia="Times New Roman" w:hAnsi="Public Sans" w:cs="Arial"/>
          <w:color w:val="000000"/>
          <w:sz w:val="22"/>
          <w:lang w:eastAsia="en-GB"/>
        </w:rPr>
        <w:t xml:space="preserve">have </w:t>
      </w:r>
      <w:r w:rsidRPr="000C1631">
        <w:rPr>
          <w:rFonts w:ascii="Public Sans" w:eastAsia="Times New Roman" w:hAnsi="Public Sans" w:cs="Arial"/>
          <w:color w:val="000000"/>
          <w:sz w:val="22"/>
          <w:lang w:eastAsia="en-GB"/>
        </w:rPr>
        <w:t>cease</w:t>
      </w:r>
      <w:r w:rsidR="00E271B7">
        <w:rPr>
          <w:rFonts w:ascii="Public Sans" w:eastAsia="Times New Roman" w:hAnsi="Public Sans" w:cs="Arial"/>
          <w:color w:val="000000"/>
          <w:sz w:val="22"/>
          <w:lang w:eastAsia="en-GB"/>
        </w:rPr>
        <w:t>d</w:t>
      </w:r>
      <w:r w:rsidRPr="000C1631">
        <w:rPr>
          <w:rFonts w:ascii="Public Sans" w:eastAsia="Times New Roman" w:hAnsi="Public Sans" w:cs="Arial"/>
          <w:color w:val="000000"/>
          <w:sz w:val="22"/>
          <w:lang w:eastAsia="en-GB"/>
        </w:rPr>
        <w:t xml:space="preserve"> to provide </w:t>
      </w:r>
      <w:r w:rsidR="00522726">
        <w:rPr>
          <w:rFonts w:ascii="Public Sans" w:eastAsia="Times New Roman" w:hAnsi="Public Sans" w:cs="Arial"/>
          <w:color w:val="000000"/>
          <w:sz w:val="22"/>
          <w:lang w:eastAsia="en-GB"/>
        </w:rPr>
        <w:t xml:space="preserve">those </w:t>
      </w:r>
      <w:r w:rsidRPr="000C1631">
        <w:rPr>
          <w:rFonts w:ascii="Public Sans" w:eastAsia="Times New Roman" w:hAnsi="Public Sans" w:cs="Arial"/>
          <w:color w:val="000000"/>
          <w:sz w:val="22"/>
          <w:lang w:eastAsia="en-GB"/>
        </w:rPr>
        <w:t>services.</w:t>
      </w:r>
    </w:p>
    <w:p w14:paraId="3E116685" w14:textId="77777777" w:rsidR="00686590" w:rsidRDefault="00686590" w:rsidP="006F7E5E">
      <w:pPr>
        <w:rPr>
          <w:rFonts w:ascii="Public Sans" w:eastAsia="Times New Roman" w:hAnsi="Public Sans" w:cs="Arial"/>
          <w:color w:val="000000"/>
          <w:sz w:val="22"/>
          <w:lang w:eastAsia="en-GB"/>
        </w:rPr>
      </w:pPr>
    </w:p>
    <w:p w14:paraId="4CE49B00" w14:textId="013B25DC" w:rsidR="00CE295A" w:rsidRDefault="00AC4705" w:rsidP="006F7E5E">
      <w:pPr>
        <w:rPr>
          <w:rFonts w:ascii="Public Sans" w:eastAsia="Times New Roman" w:hAnsi="Public Sans" w:cs="Arial"/>
          <w:color w:val="000000"/>
          <w:sz w:val="22"/>
          <w:lang w:eastAsia="en-GB"/>
        </w:rPr>
      </w:pPr>
      <w:r>
        <w:rPr>
          <w:rFonts w:ascii="Public Sans" w:eastAsia="Times New Roman" w:hAnsi="Public Sans" w:cs="Arial"/>
          <w:color w:val="000000"/>
          <w:sz w:val="22"/>
          <w:lang w:eastAsia="en-GB"/>
        </w:rPr>
        <w:t xml:space="preserve">We </w:t>
      </w:r>
      <w:r w:rsidR="003852CE">
        <w:rPr>
          <w:rFonts w:ascii="Public Sans" w:eastAsia="Times New Roman" w:hAnsi="Public Sans" w:cs="Arial"/>
          <w:color w:val="000000"/>
          <w:sz w:val="22"/>
          <w:lang w:eastAsia="en-GB"/>
        </w:rPr>
        <w:t xml:space="preserve">also </w:t>
      </w:r>
      <w:r>
        <w:rPr>
          <w:rFonts w:ascii="Public Sans" w:eastAsia="Times New Roman" w:hAnsi="Public Sans" w:cs="Arial"/>
          <w:color w:val="000000"/>
          <w:sz w:val="22"/>
          <w:lang w:eastAsia="en-GB"/>
        </w:rPr>
        <w:t xml:space="preserve">support </w:t>
      </w:r>
      <w:r w:rsidR="004F42C3">
        <w:rPr>
          <w:rFonts w:ascii="Public Sans" w:eastAsia="Times New Roman" w:hAnsi="Public Sans" w:cs="Arial"/>
          <w:color w:val="000000"/>
          <w:sz w:val="22"/>
          <w:lang w:eastAsia="en-GB"/>
        </w:rPr>
        <w:t>the proposed restrictions for people who are or have been bankrupt or personally insolvent</w:t>
      </w:r>
      <w:r w:rsidR="00EE2E43">
        <w:rPr>
          <w:rFonts w:ascii="Public Sans" w:eastAsia="Times New Roman" w:hAnsi="Public Sans" w:cs="Arial"/>
          <w:color w:val="000000"/>
          <w:sz w:val="22"/>
          <w:lang w:eastAsia="en-GB"/>
        </w:rPr>
        <w:t>, and for people who have been convicted of an offence involving dishonesty</w:t>
      </w:r>
      <w:r w:rsidR="004F42C3">
        <w:rPr>
          <w:rFonts w:ascii="Public Sans" w:eastAsia="Times New Roman" w:hAnsi="Public Sans" w:cs="Arial"/>
          <w:color w:val="000000"/>
          <w:sz w:val="22"/>
          <w:lang w:eastAsia="en-GB"/>
        </w:rPr>
        <w:t xml:space="preserve">. While the NSW Act provides that an attorney becomes unable to act if they become bankrupt after being appointed, it does not </w:t>
      </w:r>
      <w:r w:rsidR="00DA64FC">
        <w:rPr>
          <w:rFonts w:ascii="Public Sans" w:eastAsia="Times New Roman" w:hAnsi="Public Sans" w:cs="Arial"/>
          <w:color w:val="000000"/>
          <w:sz w:val="22"/>
          <w:lang w:eastAsia="en-GB"/>
        </w:rPr>
        <w:t>explicitly</w:t>
      </w:r>
      <w:r w:rsidR="004F42C3">
        <w:rPr>
          <w:rFonts w:ascii="Public Sans" w:eastAsia="Times New Roman" w:hAnsi="Public Sans" w:cs="Arial"/>
          <w:color w:val="000000"/>
          <w:sz w:val="22"/>
          <w:lang w:eastAsia="en-GB"/>
        </w:rPr>
        <w:t xml:space="preserve"> prevent a person who is or has been bankrupt from being appointed as an attorney. </w:t>
      </w:r>
      <w:r w:rsidR="00CC05A1">
        <w:rPr>
          <w:rFonts w:ascii="Public Sans" w:eastAsia="Times New Roman" w:hAnsi="Public Sans" w:cs="Arial"/>
          <w:color w:val="000000"/>
          <w:sz w:val="22"/>
          <w:lang w:eastAsia="en-GB"/>
        </w:rPr>
        <w:t>D</w:t>
      </w:r>
      <w:r w:rsidR="00EE2E43">
        <w:rPr>
          <w:rFonts w:ascii="Public Sans" w:eastAsia="Times New Roman" w:hAnsi="Public Sans" w:cs="Arial"/>
          <w:color w:val="000000"/>
          <w:sz w:val="22"/>
          <w:lang w:eastAsia="en-GB"/>
        </w:rPr>
        <w:t xml:space="preserve">ue to the high risk involved, and the direct relevance to the attorney role, we </w:t>
      </w:r>
      <w:r w:rsidR="00E2511C">
        <w:rPr>
          <w:rFonts w:ascii="Public Sans" w:eastAsia="Times New Roman" w:hAnsi="Public Sans" w:cs="Arial"/>
          <w:color w:val="000000"/>
          <w:sz w:val="22"/>
          <w:lang w:eastAsia="en-GB"/>
        </w:rPr>
        <w:t xml:space="preserve">consider that a person in these categories should be ineligible to be appointed as an attorney during the five-year ineligibility period, regardless of whether they have disclosed their bankruptcy </w:t>
      </w:r>
      <w:r w:rsidR="00313AEC">
        <w:rPr>
          <w:rFonts w:ascii="Public Sans" w:eastAsia="Times New Roman" w:hAnsi="Public Sans" w:cs="Arial"/>
          <w:color w:val="000000"/>
          <w:sz w:val="22"/>
          <w:lang w:eastAsia="en-GB"/>
        </w:rPr>
        <w:t xml:space="preserve">or insolvency </w:t>
      </w:r>
      <w:r w:rsidR="00E2511C">
        <w:rPr>
          <w:rFonts w:ascii="Public Sans" w:eastAsia="Times New Roman" w:hAnsi="Public Sans" w:cs="Arial"/>
          <w:color w:val="000000"/>
          <w:sz w:val="22"/>
          <w:lang w:eastAsia="en-GB"/>
        </w:rPr>
        <w:t xml:space="preserve">status or dishonesty conviction to the principal. </w:t>
      </w:r>
    </w:p>
    <w:p w14:paraId="26D875FF" w14:textId="593383B0" w:rsidR="00E2511C" w:rsidRDefault="00E2511C" w:rsidP="006F7E5E">
      <w:pPr>
        <w:rPr>
          <w:rFonts w:ascii="Public Sans" w:eastAsia="Times New Roman" w:hAnsi="Public Sans" w:cs="Arial"/>
          <w:color w:val="000000"/>
          <w:sz w:val="22"/>
          <w:lang w:eastAsia="en-GB"/>
        </w:rPr>
      </w:pPr>
    </w:p>
    <w:p w14:paraId="3AA68493" w14:textId="1F87F936" w:rsidR="00807D09" w:rsidRDefault="00E2511C" w:rsidP="006F7E5E">
      <w:pPr>
        <w:rPr>
          <w:rFonts w:ascii="Public Sans" w:eastAsia="Times New Roman" w:hAnsi="Public Sans" w:cs="Arial"/>
          <w:color w:val="000000"/>
          <w:sz w:val="22"/>
          <w:lang w:eastAsia="en-GB"/>
        </w:rPr>
      </w:pPr>
      <w:r>
        <w:rPr>
          <w:rFonts w:ascii="Public Sans" w:eastAsia="Times New Roman" w:hAnsi="Public Sans" w:cs="Arial"/>
          <w:color w:val="000000"/>
          <w:sz w:val="22"/>
          <w:lang w:eastAsia="en-GB"/>
        </w:rPr>
        <w:t xml:space="preserve">We do not support the proposals to </w:t>
      </w:r>
      <w:r w:rsidR="008C322A">
        <w:rPr>
          <w:rFonts w:ascii="Public Sans" w:eastAsia="Times New Roman" w:hAnsi="Public Sans" w:cs="Arial"/>
          <w:color w:val="000000"/>
          <w:sz w:val="22"/>
          <w:lang w:eastAsia="en-GB"/>
        </w:rPr>
        <w:t xml:space="preserve">prevent the principal from appointing a person who has been convicted or a domestic and family violence offence or a person who is the subject of a family or domestic violence intervention order. </w:t>
      </w:r>
      <w:r w:rsidR="003A2B20">
        <w:rPr>
          <w:rFonts w:ascii="Public Sans" w:eastAsia="Times New Roman" w:hAnsi="Public Sans" w:cs="Arial"/>
          <w:color w:val="000000"/>
          <w:sz w:val="22"/>
          <w:lang w:eastAsia="en-GB"/>
        </w:rPr>
        <w:t xml:space="preserve">While we agree that coercive control is a significant issue, we consider that preventing the appointment of an attorney in these categories fails to adequately appreciate the family situations of many principals. </w:t>
      </w:r>
      <w:r w:rsidR="008C322A">
        <w:rPr>
          <w:rFonts w:ascii="Public Sans" w:eastAsia="Times New Roman" w:hAnsi="Public Sans" w:cs="Arial"/>
          <w:color w:val="000000"/>
          <w:sz w:val="22"/>
          <w:lang w:eastAsia="en-GB"/>
        </w:rPr>
        <w:t xml:space="preserve">In </w:t>
      </w:r>
      <w:r w:rsidR="00807D09">
        <w:rPr>
          <w:rFonts w:ascii="Public Sans" w:eastAsia="Times New Roman" w:hAnsi="Public Sans" w:cs="Arial"/>
          <w:color w:val="000000"/>
          <w:sz w:val="22"/>
          <w:lang w:eastAsia="en-GB"/>
        </w:rPr>
        <w:t>this regard, we note that:</w:t>
      </w:r>
    </w:p>
    <w:p w14:paraId="68E410C4" w14:textId="77BF04A3" w:rsidR="00836D64" w:rsidRDefault="00807D09" w:rsidP="00836D64">
      <w:pPr>
        <w:pStyle w:val="ListParagraph0"/>
        <w:numPr>
          <w:ilvl w:val="0"/>
          <w:numId w:val="39"/>
        </w:numPr>
        <w:spacing w:after="0" w:line="240" w:lineRule="auto"/>
        <w:ind w:left="714" w:hanging="357"/>
        <w:rPr>
          <w:rFonts w:ascii="Public Sans" w:hAnsi="Public Sans" w:cs="Arial"/>
          <w:color w:val="000000"/>
          <w:sz w:val="22"/>
          <w:lang w:eastAsia="en-GB"/>
        </w:rPr>
      </w:pPr>
      <w:r w:rsidRPr="00807D09">
        <w:rPr>
          <w:rFonts w:ascii="Public Sans" w:hAnsi="Public Sans" w:cs="Arial"/>
          <w:color w:val="000000"/>
          <w:sz w:val="22"/>
          <w:lang w:eastAsia="en-GB"/>
        </w:rPr>
        <w:t xml:space="preserve">In </w:t>
      </w:r>
      <w:r w:rsidR="008C322A" w:rsidRPr="00807D09">
        <w:rPr>
          <w:rFonts w:ascii="Public Sans" w:hAnsi="Public Sans" w:cs="Arial"/>
          <w:color w:val="000000"/>
          <w:sz w:val="22"/>
          <w:lang w:eastAsia="en-GB"/>
        </w:rPr>
        <w:t>many of the cases handled by the ADC, the principal has</w:t>
      </w:r>
      <w:r w:rsidR="00CE295A" w:rsidRPr="00807D09">
        <w:rPr>
          <w:rFonts w:ascii="Public Sans" w:hAnsi="Public Sans" w:cs="Arial"/>
          <w:color w:val="000000"/>
          <w:sz w:val="22"/>
          <w:lang w:eastAsia="en-GB"/>
        </w:rPr>
        <w:t xml:space="preserve"> complex </w:t>
      </w:r>
      <w:r w:rsidR="00B14CCD" w:rsidRPr="00807D09">
        <w:rPr>
          <w:rFonts w:ascii="Public Sans" w:hAnsi="Public Sans" w:cs="Arial"/>
          <w:color w:val="000000"/>
          <w:sz w:val="22"/>
          <w:lang w:eastAsia="en-GB"/>
        </w:rPr>
        <w:t xml:space="preserve">and fraught </w:t>
      </w:r>
      <w:r w:rsidR="00CE295A" w:rsidRPr="00807D09">
        <w:rPr>
          <w:rFonts w:ascii="Public Sans" w:hAnsi="Public Sans" w:cs="Arial"/>
          <w:color w:val="000000"/>
          <w:sz w:val="22"/>
          <w:lang w:eastAsia="en-GB"/>
        </w:rPr>
        <w:t xml:space="preserve">family relationships </w:t>
      </w:r>
      <w:r w:rsidR="00B87F4B">
        <w:rPr>
          <w:rFonts w:ascii="Public Sans" w:hAnsi="Public Sans" w:cs="Arial"/>
          <w:color w:val="000000"/>
          <w:sz w:val="22"/>
          <w:lang w:eastAsia="en-GB"/>
        </w:rPr>
        <w:t>commonly involving</w:t>
      </w:r>
      <w:r w:rsidR="00CE295A" w:rsidRPr="00807D09">
        <w:rPr>
          <w:rFonts w:ascii="Public Sans" w:hAnsi="Public Sans" w:cs="Arial"/>
          <w:color w:val="000000"/>
          <w:sz w:val="22"/>
          <w:lang w:eastAsia="en-GB"/>
        </w:rPr>
        <w:t xml:space="preserve"> violence and a</w:t>
      </w:r>
      <w:r w:rsidR="008C322A" w:rsidRPr="00807D09">
        <w:rPr>
          <w:rFonts w:ascii="Public Sans" w:hAnsi="Public Sans" w:cs="Arial"/>
          <w:color w:val="000000"/>
          <w:sz w:val="22"/>
          <w:lang w:eastAsia="en-GB"/>
        </w:rPr>
        <w:t>llegations</w:t>
      </w:r>
      <w:r w:rsidR="00CE295A" w:rsidRPr="00807D09">
        <w:rPr>
          <w:rFonts w:ascii="Public Sans" w:hAnsi="Public Sans" w:cs="Arial"/>
          <w:color w:val="000000"/>
          <w:sz w:val="22"/>
          <w:lang w:eastAsia="en-GB"/>
        </w:rPr>
        <w:t xml:space="preserve"> of violence</w:t>
      </w:r>
      <w:r w:rsidRPr="00807D09">
        <w:rPr>
          <w:rFonts w:ascii="Public Sans" w:hAnsi="Public Sans" w:cs="Arial"/>
          <w:color w:val="000000"/>
          <w:sz w:val="22"/>
          <w:lang w:eastAsia="en-GB"/>
        </w:rPr>
        <w:t xml:space="preserve">. </w:t>
      </w:r>
      <w:r w:rsidR="00CE295A" w:rsidRPr="00807D09">
        <w:rPr>
          <w:rFonts w:ascii="Public Sans" w:hAnsi="Public Sans" w:cs="Arial"/>
          <w:color w:val="000000"/>
          <w:sz w:val="22"/>
          <w:lang w:eastAsia="en-GB"/>
        </w:rPr>
        <w:t xml:space="preserve">A blanket restriction on appointing people who have been </w:t>
      </w:r>
      <w:r w:rsidR="00B14CCD" w:rsidRPr="00807D09">
        <w:rPr>
          <w:rFonts w:ascii="Public Sans" w:hAnsi="Public Sans" w:cs="Arial"/>
          <w:color w:val="000000"/>
          <w:sz w:val="22"/>
          <w:lang w:eastAsia="en-GB"/>
        </w:rPr>
        <w:t xml:space="preserve">convicted of a DFV offence </w:t>
      </w:r>
      <w:r w:rsidR="00F40D73" w:rsidRPr="00807D09">
        <w:rPr>
          <w:rFonts w:ascii="Public Sans" w:hAnsi="Public Sans" w:cs="Arial"/>
          <w:color w:val="000000"/>
          <w:sz w:val="22"/>
          <w:lang w:eastAsia="en-GB"/>
        </w:rPr>
        <w:t xml:space="preserve">within the principal’s family or domestic context would </w:t>
      </w:r>
      <w:r w:rsidR="00B87F4B">
        <w:rPr>
          <w:rFonts w:ascii="Public Sans" w:hAnsi="Public Sans" w:cs="Arial"/>
          <w:color w:val="000000"/>
          <w:sz w:val="22"/>
          <w:lang w:eastAsia="en-GB"/>
        </w:rPr>
        <w:t xml:space="preserve">present significant barriers to </w:t>
      </w:r>
      <w:r w:rsidR="005000A8" w:rsidRPr="00807D09">
        <w:rPr>
          <w:rFonts w:ascii="Public Sans" w:hAnsi="Public Sans" w:cs="Arial"/>
          <w:color w:val="000000"/>
          <w:sz w:val="22"/>
          <w:lang w:eastAsia="en-GB"/>
        </w:rPr>
        <w:t>some principals</w:t>
      </w:r>
      <w:r w:rsidR="00F40D73" w:rsidRPr="00807D09">
        <w:rPr>
          <w:rFonts w:ascii="Public Sans" w:hAnsi="Public Sans" w:cs="Arial"/>
          <w:color w:val="000000"/>
          <w:sz w:val="22"/>
          <w:lang w:eastAsia="en-GB"/>
        </w:rPr>
        <w:t xml:space="preserve"> </w:t>
      </w:r>
      <w:r w:rsidR="00B87F4B">
        <w:rPr>
          <w:rFonts w:ascii="Public Sans" w:hAnsi="Public Sans" w:cs="Arial"/>
          <w:color w:val="000000"/>
          <w:sz w:val="22"/>
          <w:lang w:eastAsia="en-GB"/>
        </w:rPr>
        <w:t>being able to appoint a person they know and trust</w:t>
      </w:r>
      <w:r w:rsidR="00CE295A" w:rsidRPr="00807D09">
        <w:rPr>
          <w:rFonts w:ascii="Public Sans" w:hAnsi="Public Sans" w:cs="Arial"/>
          <w:color w:val="000000"/>
          <w:sz w:val="22"/>
          <w:lang w:eastAsia="en-GB"/>
        </w:rPr>
        <w:t>. </w:t>
      </w:r>
    </w:p>
    <w:p w14:paraId="1E4A958E" w14:textId="6596071E" w:rsidR="00836D64" w:rsidRPr="00836D64" w:rsidRDefault="00836D64" w:rsidP="00836D64">
      <w:pPr>
        <w:pStyle w:val="ListParagraph0"/>
        <w:numPr>
          <w:ilvl w:val="0"/>
          <w:numId w:val="39"/>
        </w:numPr>
        <w:spacing w:after="0" w:line="240" w:lineRule="auto"/>
        <w:ind w:left="714" w:hanging="357"/>
        <w:rPr>
          <w:rFonts w:ascii="Public Sans" w:hAnsi="Public Sans"/>
          <w:sz w:val="22"/>
          <w:szCs w:val="22"/>
          <w:lang w:eastAsia="en-GB"/>
        </w:rPr>
      </w:pPr>
      <w:r w:rsidRPr="00836D64">
        <w:rPr>
          <w:rFonts w:ascii="Public Sans" w:hAnsi="Public Sans" w:cs="Arial"/>
          <w:color w:val="000000"/>
          <w:sz w:val="22"/>
          <w:lang w:eastAsia="en-GB"/>
        </w:rPr>
        <w:t>There is a low threshold for interim i</w:t>
      </w:r>
      <w:r w:rsidR="00CE295A" w:rsidRPr="00836D64">
        <w:rPr>
          <w:rFonts w:ascii="Public Sans" w:hAnsi="Public Sans" w:cs="Arial"/>
          <w:color w:val="000000"/>
          <w:sz w:val="22"/>
          <w:lang w:eastAsia="en-GB"/>
        </w:rPr>
        <w:t xml:space="preserve">ntervention orders </w:t>
      </w:r>
      <w:r w:rsidRPr="00836D64">
        <w:rPr>
          <w:rFonts w:ascii="Public Sans" w:hAnsi="Public Sans" w:cs="Arial"/>
          <w:color w:val="000000"/>
          <w:sz w:val="22"/>
          <w:lang w:eastAsia="en-GB"/>
        </w:rPr>
        <w:t>to be taken out</w:t>
      </w:r>
      <w:r w:rsidR="000936F0">
        <w:rPr>
          <w:rFonts w:ascii="Public Sans" w:hAnsi="Public Sans" w:cs="Arial"/>
          <w:color w:val="000000"/>
          <w:sz w:val="22"/>
          <w:lang w:eastAsia="en-GB"/>
        </w:rPr>
        <w:t xml:space="preserve">, and </w:t>
      </w:r>
      <w:r w:rsidR="00CE295A" w:rsidRPr="00836D64">
        <w:rPr>
          <w:rFonts w:ascii="Public Sans" w:hAnsi="Public Sans" w:cs="Arial"/>
          <w:color w:val="000000"/>
          <w:sz w:val="22"/>
          <w:lang w:eastAsia="en-GB"/>
        </w:rPr>
        <w:t xml:space="preserve">applications for intervention orders </w:t>
      </w:r>
      <w:r w:rsidR="000936F0">
        <w:rPr>
          <w:rFonts w:ascii="Public Sans" w:hAnsi="Public Sans" w:cs="Arial"/>
          <w:color w:val="000000"/>
          <w:sz w:val="22"/>
          <w:lang w:eastAsia="en-GB"/>
        </w:rPr>
        <w:t xml:space="preserve">are sometimes </w:t>
      </w:r>
      <w:r w:rsidR="00CE295A" w:rsidRPr="00836D64">
        <w:rPr>
          <w:rFonts w:ascii="Public Sans" w:hAnsi="Public Sans" w:cs="Arial"/>
          <w:color w:val="000000"/>
          <w:sz w:val="22"/>
          <w:lang w:eastAsia="en-GB"/>
        </w:rPr>
        <w:t xml:space="preserve">used as a </w:t>
      </w:r>
      <w:r w:rsidRPr="00836D64">
        <w:rPr>
          <w:rFonts w:ascii="Public Sans" w:hAnsi="Public Sans" w:cs="Arial"/>
          <w:color w:val="000000"/>
          <w:sz w:val="22"/>
          <w:lang w:eastAsia="en-GB"/>
        </w:rPr>
        <w:t>‘</w:t>
      </w:r>
      <w:r w:rsidR="00CE295A" w:rsidRPr="00836D64">
        <w:rPr>
          <w:rFonts w:ascii="Public Sans" w:hAnsi="Public Sans" w:cs="Arial"/>
          <w:color w:val="000000"/>
          <w:sz w:val="22"/>
          <w:lang w:eastAsia="en-GB"/>
        </w:rPr>
        <w:t>weapon</w:t>
      </w:r>
      <w:r w:rsidRPr="00836D64">
        <w:rPr>
          <w:rFonts w:ascii="Public Sans" w:hAnsi="Public Sans" w:cs="Arial"/>
          <w:color w:val="000000"/>
          <w:sz w:val="22"/>
          <w:lang w:eastAsia="en-GB"/>
        </w:rPr>
        <w:t>’</w:t>
      </w:r>
      <w:r w:rsidR="00CE295A" w:rsidRPr="00836D64">
        <w:rPr>
          <w:rFonts w:ascii="Public Sans" w:hAnsi="Public Sans" w:cs="Arial"/>
          <w:color w:val="000000"/>
          <w:sz w:val="22"/>
          <w:lang w:eastAsia="en-GB"/>
        </w:rPr>
        <w:t xml:space="preserve"> during family dispute</w:t>
      </w:r>
      <w:r w:rsidR="00F66DDE">
        <w:rPr>
          <w:rFonts w:ascii="Public Sans" w:hAnsi="Public Sans" w:cs="Arial"/>
          <w:color w:val="000000"/>
          <w:sz w:val="22"/>
          <w:lang w:eastAsia="en-GB"/>
        </w:rPr>
        <w:t>s</w:t>
      </w:r>
      <w:r w:rsidR="00CE295A" w:rsidRPr="00836D64">
        <w:rPr>
          <w:rFonts w:ascii="Public Sans" w:hAnsi="Public Sans" w:cs="Arial"/>
          <w:color w:val="000000"/>
          <w:sz w:val="22"/>
          <w:lang w:eastAsia="en-GB"/>
        </w:rPr>
        <w:t>.</w:t>
      </w:r>
      <w:r w:rsidR="000936F0">
        <w:rPr>
          <w:rFonts w:ascii="Public Sans" w:hAnsi="Public Sans" w:cs="Arial"/>
          <w:color w:val="000000"/>
          <w:sz w:val="22"/>
          <w:lang w:eastAsia="en-GB"/>
        </w:rPr>
        <w:t xml:space="preserve"> </w:t>
      </w:r>
    </w:p>
    <w:p w14:paraId="79A8C377" w14:textId="2D0BE4E1" w:rsidR="00CE295A" w:rsidRPr="00836D64" w:rsidRDefault="00836D64" w:rsidP="00836D64">
      <w:pPr>
        <w:pStyle w:val="ListParagraph0"/>
        <w:numPr>
          <w:ilvl w:val="0"/>
          <w:numId w:val="39"/>
        </w:numPr>
        <w:spacing w:after="0" w:line="240" w:lineRule="auto"/>
        <w:ind w:left="714" w:hanging="357"/>
        <w:rPr>
          <w:rFonts w:ascii="Public Sans" w:hAnsi="Public Sans"/>
          <w:sz w:val="22"/>
          <w:szCs w:val="22"/>
          <w:lang w:eastAsia="en-GB"/>
        </w:rPr>
      </w:pPr>
      <w:r>
        <w:rPr>
          <w:rFonts w:ascii="Public Sans" w:hAnsi="Public Sans" w:cs="Arial"/>
          <w:color w:val="000000"/>
          <w:sz w:val="22"/>
          <w:lang w:eastAsia="en-GB"/>
        </w:rPr>
        <w:t xml:space="preserve">We </w:t>
      </w:r>
      <w:r w:rsidR="00CE295A" w:rsidRPr="00836D64">
        <w:rPr>
          <w:rFonts w:ascii="Public Sans" w:hAnsi="Public Sans" w:cs="Arial"/>
          <w:color w:val="000000"/>
          <w:sz w:val="22"/>
          <w:szCs w:val="22"/>
          <w:lang w:eastAsia="en-GB"/>
        </w:rPr>
        <w:t xml:space="preserve">have </w:t>
      </w:r>
      <w:r>
        <w:rPr>
          <w:rFonts w:ascii="Public Sans" w:hAnsi="Public Sans" w:cs="Arial"/>
          <w:color w:val="000000"/>
          <w:sz w:val="22"/>
          <w:szCs w:val="22"/>
          <w:lang w:eastAsia="en-GB"/>
        </w:rPr>
        <w:t xml:space="preserve">handled </w:t>
      </w:r>
      <w:r w:rsidR="00CE295A" w:rsidRPr="00836D64">
        <w:rPr>
          <w:rFonts w:ascii="Public Sans" w:hAnsi="Public Sans" w:cs="Arial"/>
          <w:color w:val="000000"/>
          <w:sz w:val="22"/>
          <w:szCs w:val="22"/>
          <w:lang w:eastAsia="en-GB"/>
        </w:rPr>
        <w:t xml:space="preserve">cases </w:t>
      </w:r>
      <w:r>
        <w:rPr>
          <w:rFonts w:ascii="Public Sans" w:hAnsi="Public Sans" w:cs="Arial"/>
          <w:color w:val="000000"/>
          <w:sz w:val="22"/>
          <w:szCs w:val="22"/>
          <w:lang w:eastAsia="en-GB"/>
        </w:rPr>
        <w:t xml:space="preserve">in which </w:t>
      </w:r>
      <w:r w:rsidR="00CE295A" w:rsidRPr="00836D64">
        <w:rPr>
          <w:rFonts w:ascii="Public Sans" w:hAnsi="Public Sans" w:cs="Arial"/>
          <w:color w:val="000000"/>
          <w:sz w:val="22"/>
          <w:szCs w:val="22"/>
          <w:lang w:eastAsia="en-GB"/>
        </w:rPr>
        <w:t>attorney</w:t>
      </w:r>
      <w:r w:rsidR="00B26EB1">
        <w:rPr>
          <w:rFonts w:ascii="Public Sans" w:hAnsi="Public Sans" w:cs="Arial"/>
          <w:color w:val="000000"/>
          <w:sz w:val="22"/>
          <w:szCs w:val="22"/>
          <w:lang w:eastAsia="en-GB"/>
        </w:rPr>
        <w:t>s</w:t>
      </w:r>
      <w:r w:rsidR="00CE295A" w:rsidRPr="00836D64">
        <w:rPr>
          <w:rFonts w:ascii="Public Sans" w:hAnsi="Public Sans" w:cs="Arial"/>
          <w:color w:val="000000"/>
          <w:sz w:val="22"/>
          <w:szCs w:val="22"/>
          <w:lang w:eastAsia="en-GB"/>
        </w:rPr>
        <w:t xml:space="preserve"> ha</w:t>
      </w:r>
      <w:r w:rsidR="00B26EB1">
        <w:rPr>
          <w:rFonts w:ascii="Public Sans" w:hAnsi="Public Sans" w:cs="Arial"/>
          <w:color w:val="000000"/>
          <w:sz w:val="22"/>
          <w:szCs w:val="22"/>
          <w:lang w:eastAsia="en-GB"/>
        </w:rPr>
        <w:t>ve</w:t>
      </w:r>
      <w:r w:rsidR="00CE295A" w:rsidRPr="00836D64">
        <w:rPr>
          <w:rFonts w:ascii="Public Sans" w:hAnsi="Public Sans" w:cs="Arial"/>
          <w:color w:val="000000"/>
          <w:sz w:val="22"/>
          <w:szCs w:val="22"/>
          <w:lang w:eastAsia="en-GB"/>
        </w:rPr>
        <w:t xml:space="preserve"> had action taken against them for </w:t>
      </w:r>
      <w:r>
        <w:rPr>
          <w:rFonts w:ascii="Public Sans" w:hAnsi="Public Sans" w:cs="Arial"/>
          <w:color w:val="000000"/>
          <w:sz w:val="22"/>
          <w:szCs w:val="22"/>
          <w:lang w:eastAsia="en-GB"/>
        </w:rPr>
        <w:t>violence against a spouse or f</w:t>
      </w:r>
      <w:r w:rsidR="00CE295A" w:rsidRPr="00836D64">
        <w:rPr>
          <w:rFonts w:ascii="Public Sans" w:hAnsi="Public Sans" w:cs="Arial"/>
          <w:color w:val="000000"/>
          <w:sz w:val="22"/>
          <w:szCs w:val="22"/>
          <w:lang w:eastAsia="en-GB"/>
        </w:rPr>
        <w:t xml:space="preserve">amily </w:t>
      </w:r>
      <w:r w:rsidR="00F66DDE" w:rsidRPr="00836D64">
        <w:rPr>
          <w:rFonts w:ascii="Public Sans" w:hAnsi="Public Sans" w:cs="Arial"/>
          <w:color w:val="000000"/>
          <w:sz w:val="22"/>
          <w:szCs w:val="22"/>
          <w:lang w:eastAsia="en-GB"/>
        </w:rPr>
        <w:t>member</w:t>
      </w:r>
      <w:r w:rsidR="00F66DDE">
        <w:rPr>
          <w:rFonts w:ascii="Public Sans" w:hAnsi="Public Sans" w:cs="Arial"/>
          <w:color w:val="000000"/>
          <w:sz w:val="22"/>
          <w:szCs w:val="22"/>
          <w:lang w:eastAsia="en-GB"/>
        </w:rPr>
        <w:t xml:space="preserve"> but </w:t>
      </w:r>
      <w:r w:rsidR="00CE295A" w:rsidRPr="00836D64">
        <w:rPr>
          <w:rFonts w:ascii="Public Sans" w:hAnsi="Public Sans" w:cs="Arial"/>
          <w:color w:val="000000"/>
          <w:sz w:val="22"/>
          <w:szCs w:val="22"/>
          <w:lang w:eastAsia="en-GB"/>
        </w:rPr>
        <w:t>could be trusted not to act violently toward the principal</w:t>
      </w:r>
      <w:r>
        <w:rPr>
          <w:rFonts w:ascii="Public Sans" w:hAnsi="Public Sans" w:cs="Arial"/>
          <w:color w:val="000000"/>
          <w:sz w:val="22"/>
          <w:szCs w:val="22"/>
          <w:lang w:eastAsia="en-GB"/>
        </w:rPr>
        <w:t xml:space="preserve"> (often the parent)</w:t>
      </w:r>
      <w:r w:rsidR="00CE295A" w:rsidRPr="00836D64">
        <w:rPr>
          <w:rFonts w:ascii="Public Sans" w:hAnsi="Public Sans" w:cs="Arial"/>
          <w:color w:val="000000"/>
          <w:sz w:val="22"/>
          <w:szCs w:val="22"/>
          <w:lang w:eastAsia="en-GB"/>
        </w:rPr>
        <w:t>.</w:t>
      </w:r>
    </w:p>
    <w:p w14:paraId="04CE36D0" w14:textId="77777777" w:rsidR="00F200DD" w:rsidRPr="000C1631" w:rsidRDefault="00F200DD" w:rsidP="006F7E5E">
      <w:pPr>
        <w:rPr>
          <w:rFonts w:ascii="Public Sans" w:eastAsia="Times New Roman" w:hAnsi="Public Sans" w:cs="Times New Roman"/>
          <w:sz w:val="22"/>
          <w:lang w:eastAsia="en-GB"/>
        </w:rPr>
      </w:pPr>
    </w:p>
    <w:p w14:paraId="5FD0A42B" w14:textId="4A0EA808" w:rsidR="00417CC3" w:rsidRPr="003D7B4D" w:rsidRDefault="00417CC3" w:rsidP="002B045F">
      <w:pPr>
        <w:pStyle w:val="Heading2"/>
        <w:spacing w:before="0" w:after="200"/>
        <w:rPr>
          <w:rFonts w:ascii="Public Sans" w:hAnsi="Public Sans"/>
          <w:color w:val="002060"/>
          <w:sz w:val="32"/>
          <w:szCs w:val="36"/>
        </w:rPr>
      </w:pPr>
      <w:r w:rsidRPr="003D7B4D">
        <w:rPr>
          <w:rFonts w:ascii="Public Sans" w:hAnsi="Public Sans"/>
          <w:color w:val="002060"/>
          <w:sz w:val="32"/>
          <w:szCs w:val="36"/>
        </w:rPr>
        <w:lastRenderedPageBreak/>
        <w:t xml:space="preserve">Attorney </w:t>
      </w:r>
      <w:r w:rsidR="003D7B4D" w:rsidRPr="003D7B4D">
        <w:rPr>
          <w:rFonts w:ascii="Public Sans" w:hAnsi="Public Sans"/>
          <w:color w:val="002060"/>
          <w:sz w:val="32"/>
          <w:szCs w:val="36"/>
        </w:rPr>
        <w:t>dutie</w:t>
      </w:r>
      <w:r w:rsidRPr="003D7B4D">
        <w:rPr>
          <w:rFonts w:ascii="Public Sans" w:hAnsi="Public Sans"/>
          <w:color w:val="002060"/>
          <w:sz w:val="32"/>
          <w:szCs w:val="36"/>
        </w:rPr>
        <w:t>s</w:t>
      </w:r>
    </w:p>
    <w:p w14:paraId="6236FC75" w14:textId="738D7AE2" w:rsidR="00417CC3" w:rsidRDefault="00B94FB0" w:rsidP="00417CC3">
      <w:pPr>
        <w:rPr>
          <w:rFonts w:ascii="Public Sans" w:eastAsia="Times New Roman" w:hAnsi="Public Sans" w:cs="Arial"/>
          <w:color w:val="000000"/>
          <w:sz w:val="22"/>
          <w:lang w:eastAsia="en-GB"/>
        </w:rPr>
      </w:pPr>
      <w:r>
        <w:rPr>
          <w:rFonts w:ascii="Public Sans" w:eastAsia="Times New Roman" w:hAnsi="Public Sans" w:cs="Arial"/>
          <w:color w:val="000000"/>
          <w:sz w:val="22"/>
          <w:lang w:eastAsia="en-GB"/>
        </w:rPr>
        <w:t>The ADC generally supports the proposed model provision in relation to attorney duties, including to:</w:t>
      </w:r>
    </w:p>
    <w:p w14:paraId="15B01449" w14:textId="04D701BA" w:rsidR="00B94FB0" w:rsidRDefault="00B94FB0" w:rsidP="00506737">
      <w:pPr>
        <w:pStyle w:val="ListParagraph0"/>
        <w:numPr>
          <w:ilvl w:val="0"/>
          <w:numId w:val="40"/>
        </w:numPr>
        <w:spacing w:before="60" w:after="0" w:line="240" w:lineRule="auto"/>
        <w:ind w:left="714" w:hanging="357"/>
        <w:rPr>
          <w:rFonts w:ascii="Public Sans" w:hAnsi="Public Sans" w:cs="Arial"/>
          <w:color w:val="000000"/>
          <w:sz w:val="22"/>
          <w:lang w:eastAsia="en-GB"/>
        </w:rPr>
      </w:pPr>
      <w:r>
        <w:rPr>
          <w:rFonts w:ascii="Public Sans" w:hAnsi="Public Sans" w:cs="Arial"/>
          <w:color w:val="000000"/>
          <w:sz w:val="22"/>
          <w:lang w:eastAsia="en-GB"/>
        </w:rPr>
        <w:t>comply with the Act and the EPOA</w:t>
      </w:r>
    </w:p>
    <w:p w14:paraId="4769E841" w14:textId="3E551845" w:rsidR="00B94FB0" w:rsidRDefault="00B94FB0" w:rsidP="00B94FB0">
      <w:pPr>
        <w:pStyle w:val="ListParagraph0"/>
        <w:numPr>
          <w:ilvl w:val="0"/>
          <w:numId w:val="40"/>
        </w:numPr>
        <w:spacing w:before="0" w:after="0" w:line="240" w:lineRule="auto"/>
        <w:ind w:left="714" w:hanging="357"/>
        <w:rPr>
          <w:rFonts w:ascii="Public Sans" w:hAnsi="Public Sans" w:cs="Arial"/>
          <w:color w:val="000000"/>
          <w:sz w:val="22"/>
          <w:lang w:eastAsia="en-GB"/>
        </w:rPr>
      </w:pPr>
      <w:r>
        <w:rPr>
          <w:rFonts w:ascii="Public Sans" w:hAnsi="Public Sans" w:cs="Arial"/>
          <w:color w:val="000000"/>
          <w:sz w:val="22"/>
          <w:lang w:eastAsia="en-GB"/>
        </w:rPr>
        <w:t>keep records and take reasonable steps to keep other attorneys informed</w:t>
      </w:r>
    </w:p>
    <w:p w14:paraId="6190E023" w14:textId="3F589660" w:rsidR="00B94FB0" w:rsidRDefault="00DF3A6F" w:rsidP="00B94FB0">
      <w:pPr>
        <w:pStyle w:val="ListParagraph0"/>
        <w:numPr>
          <w:ilvl w:val="0"/>
          <w:numId w:val="40"/>
        </w:numPr>
        <w:spacing w:before="0" w:after="0" w:line="240" w:lineRule="auto"/>
        <w:ind w:left="714" w:hanging="357"/>
        <w:rPr>
          <w:rFonts w:ascii="Public Sans" w:hAnsi="Public Sans" w:cs="Arial"/>
          <w:color w:val="000000"/>
          <w:sz w:val="22"/>
          <w:lang w:eastAsia="en-GB"/>
        </w:rPr>
      </w:pPr>
      <w:r>
        <w:rPr>
          <w:rFonts w:ascii="Public Sans" w:hAnsi="Public Sans" w:cs="Arial"/>
          <w:color w:val="000000"/>
          <w:sz w:val="22"/>
          <w:lang w:eastAsia="en-GB"/>
        </w:rPr>
        <w:t>act honestly, in good faith and with reasonable care</w:t>
      </w:r>
    </w:p>
    <w:p w14:paraId="448DABF4" w14:textId="2F5BB4D0" w:rsidR="00DF3A6F" w:rsidRDefault="00DF3A6F" w:rsidP="00B94FB0">
      <w:pPr>
        <w:pStyle w:val="ListParagraph0"/>
        <w:numPr>
          <w:ilvl w:val="0"/>
          <w:numId w:val="40"/>
        </w:numPr>
        <w:spacing w:before="0" w:after="0" w:line="240" w:lineRule="auto"/>
        <w:ind w:left="714" w:hanging="357"/>
        <w:rPr>
          <w:rFonts w:ascii="Public Sans" w:hAnsi="Public Sans" w:cs="Arial"/>
          <w:color w:val="000000"/>
          <w:sz w:val="22"/>
          <w:lang w:eastAsia="en-GB"/>
        </w:rPr>
      </w:pPr>
      <w:r>
        <w:rPr>
          <w:rFonts w:ascii="Public Sans" w:hAnsi="Public Sans" w:cs="Arial"/>
          <w:color w:val="000000"/>
          <w:sz w:val="22"/>
          <w:lang w:eastAsia="en-GB"/>
        </w:rPr>
        <w:t>keep property (including money) separate</w:t>
      </w:r>
      <w:r w:rsidR="00CA1E88">
        <w:rPr>
          <w:rFonts w:ascii="Public Sans" w:hAnsi="Public Sans" w:cs="Arial"/>
          <w:color w:val="000000"/>
          <w:sz w:val="22"/>
          <w:lang w:eastAsia="en-GB"/>
        </w:rPr>
        <w:t>.</w:t>
      </w:r>
    </w:p>
    <w:p w14:paraId="1A4D7155" w14:textId="77777777" w:rsidR="00DF3A6F" w:rsidRPr="00CA1E88" w:rsidRDefault="00DF3A6F" w:rsidP="00CA1E88">
      <w:pPr>
        <w:rPr>
          <w:rFonts w:ascii="Public Sans" w:hAnsi="Public Sans" w:cs="Arial"/>
          <w:color w:val="000000"/>
          <w:sz w:val="22"/>
          <w:lang w:eastAsia="en-GB"/>
        </w:rPr>
      </w:pPr>
    </w:p>
    <w:p w14:paraId="622BF0F4" w14:textId="16566476" w:rsidR="002B045F" w:rsidRDefault="00CA1E88" w:rsidP="00417CC3">
      <w:pPr>
        <w:rPr>
          <w:rFonts w:ascii="Public Sans" w:eastAsia="Times New Roman" w:hAnsi="Public Sans" w:cs="Arial"/>
          <w:color w:val="000000"/>
          <w:sz w:val="22"/>
          <w:lang w:eastAsia="en-GB"/>
        </w:rPr>
      </w:pPr>
      <w:r>
        <w:rPr>
          <w:rFonts w:ascii="Public Sans" w:eastAsia="Times New Roman" w:hAnsi="Public Sans" w:cs="Arial"/>
          <w:color w:val="000000"/>
          <w:sz w:val="22"/>
          <w:lang w:eastAsia="en-GB"/>
        </w:rPr>
        <w:t>In relation to the proposed inclusion of a ‘duty not to enter conflict transactions’, we have concerns that this would be poorly understood by both principals and attorneys.</w:t>
      </w:r>
      <w:r w:rsidR="00BC5E8B">
        <w:rPr>
          <w:rFonts w:ascii="Public Sans" w:eastAsia="Times New Roman" w:hAnsi="Public Sans" w:cs="Arial"/>
          <w:color w:val="000000"/>
          <w:sz w:val="22"/>
          <w:lang w:eastAsia="en-GB"/>
        </w:rPr>
        <w:t xml:space="preserve"> In our experience, EPOA information needs to be pitched at a foundational level to enable an appropriate level of understanding and compliance by attorneys. </w:t>
      </w:r>
      <w:r w:rsidR="00C74232">
        <w:rPr>
          <w:rFonts w:ascii="Public Sans" w:eastAsia="Times New Roman" w:hAnsi="Public Sans" w:cs="Arial"/>
          <w:color w:val="000000"/>
          <w:sz w:val="22"/>
          <w:lang w:eastAsia="en-GB"/>
        </w:rPr>
        <w:t xml:space="preserve">Conflicts of interest are generally poorly understood by the general public. </w:t>
      </w:r>
      <w:r w:rsidR="00BC5E8B">
        <w:rPr>
          <w:rFonts w:ascii="Public Sans" w:eastAsia="Times New Roman" w:hAnsi="Public Sans" w:cs="Arial"/>
          <w:color w:val="000000"/>
          <w:sz w:val="22"/>
          <w:lang w:eastAsia="en-GB"/>
        </w:rPr>
        <w:t>We are not convinced that</w:t>
      </w:r>
      <w:r w:rsidR="00C74232">
        <w:rPr>
          <w:rFonts w:ascii="Public Sans" w:eastAsia="Times New Roman" w:hAnsi="Public Sans" w:cs="Arial"/>
          <w:color w:val="000000"/>
          <w:sz w:val="22"/>
          <w:lang w:eastAsia="en-GB"/>
        </w:rPr>
        <w:t xml:space="preserve"> this duty, as currently framed, would be sufficiently clear to support the principal to know what to authorise, or the attorney to know what to do. If this duty is included in the model provisions, at a minimum there would need to be comprehensive, clear and accessible guidance for principals and attorneys on what this duty means, with practical examples.  </w:t>
      </w:r>
    </w:p>
    <w:p w14:paraId="4A6DE3D2" w14:textId="4643CE99" w:rsidR="00DF3A6F" w:rsidRDefault="00DF3A6F" w:rsidP="00417CC3">
      <w:pPr>
        <w:rPr>
          <w:rFonts w:ascii="Public Sans" w:eastAsia="Times New Roman" w:hAnsi="Public Sans" w:cs="Arial"/>
          <w:color w:val="000000"/>
          <w:sz w:val="22"/>
          <w:lang w:eastAsia="en-GB"/>
        </w:rPr>
      </w:pPr>
    </w:p>
    <w:p w14:paraId="6941C506" w14:textId="207B9985" w:rsidR="00276433" w:rsidRPr="00276433" w:rsidRDefault="00C74232" w:rsidP="00B00D4D">
      <w:pPr>
        <w:rPr>
          <w:rFonts w:ascii="Public Sans" w:eastAsia="Times New Roman" w:hAnsi="Public Sans" w:cs="Arial"/>
          <w:color w:val="000000"/>
          <w:sz w:val="22"/>
          <w:lang w:eastAsia="en-GB"/>
        </w:rPr>
      </w:pPr>
      <w:r>
        <w:rPr>
          <w:rFonts w:ascii="Public Sans" w:eastAsia="Times New Roman" w:hAnsi="Public Sans" w:cs="Arial"/>
          <w:color w:val="000000"/>
          <w:sz w:val="22"/>
          <w:lang w:eastAsia="en-GB"/>
        </w:rPr>
        <w:t xml:space="preserve">The NSW </w:t>
      </w:r>
      <w:r w:rsidR="00276433">
        <w:rPr>
          <w:rFonts w:ascii="Public Sans" w:eastAsia="Times New Roman" w:hAnsi="Public Sans" w:cs="Arial"/>
          <w:color w:val="000000"/>
          <w:sz w:val="22"/>
          <w:lang w:eastAsia="en-GB"/>
        </w:rPr>
        <w:t>Act also identifies that, unless expressly authorised, the prescribed power of attorney does not confer authority to</w:t>
      </w:r>
      <w:r w:rsidR="00B00D4D">
        <w:rPr>
          <w:rFonts w:ascii="Public Sans" w:eastAsia="Times New Roman" w:hAnsi="Public Sans" w:cs="Arial"/>
          <w:color w:val="000000"/>
          <w:sz w:val="22"/>
          <w:lang w:eastAsia="en-GB"/>
        </w:rPr>
        <w:t xml:space="preserve"> </w:t>
      </w:r>
      <w:r w:rsidR="00276433">
        <w:rPr>
          <w:rFonts w:ascii="Public Sans" w:hAnsi="Public Sans" w:cs="Arial"/>
          <w:color w:val="000000"/>
          <w:sz w:val="22"/>
          <w:lang w:eastAsia="en-GB"/>
        </w:rPr>
        <w:t>give gifts</w:t>
      </w:r>
      <w:r w:rsidR="00B00D4D">
        <w:rPr>
          <w:rFonts w:ascii="Public Sans" w:hAnsi="Public Sans" w:cs="Arial"/>
          <w:color w:val="000000"/>
          <w:sz w:val="22"/>
          <w:lang w:eastAsia="en-GB"/>
        </w:rPr>
        <w:t xml:space="preserve">, </w:t>
      </w:r>
      <w:r w:rsidR="00276433">
        <w:rPr>
          <w:rFonts w:ascii="Public Sans" w:hAnsi="Public Sans" w:cs="Arial"/>
          <w:color w:val="000000"/>
          <w:sz w:val="22"/>
          <w:lang w:eastAsia="en-GB"/>
        </w:rPr>
        <w:t>confer benefits on attorneys</w:t>
      </w:r>
      <w:r w:rsidR="00B00D4D">
        <w:rPr>
          <w:rFonts w:ascii="Public Sans" w:hAnsi="Public Sans" w:cs="Arial"/>
          <w:color w:val="000000"/>
          <w:sz w:val="22"/>
          <w:lang w:eastAsia="en-GB"/>
        </w:rPr>
        <w:t xml:space="preserve">, or </w:t>
      </w:r>
      <w:r w:rsidR="00276433">
        <w:rPr>
          <w:rFonts w:ascii="Public Sans" w:hAnsi="Public Sans" w:cs="Arial"/>
          <w:color w:val="000000"/>
          <w:sz w:val="22"/>
          <w:lang w:eastAsia="en-GB"/>
        </w:rPr>
        <w:t>confer benefits on third parties.</w:t>
      </w:r>
      <w:r w:rsidR="00B00D4D">
        <w:rPr>
          <w:rFonts w:ascii="Public Sans" w:hAnsi="Public Sans" w:cs="Arial"/>
          <w:color w:val="000000"/>
          <w:sz w:val="22"/>
          <w:lang w:eastAsia="en-GB"/>
        </w:rPr>
        <w:t xml:space="preserve"> The prescribed EPOA form </w:t>
      </w:r>
      <w:r w:rsidR="002A523B">
        <w:rPr>
          <w:rFonts w:ascii="Public Sans" w:hAnsi="Public Sans" w:cs="Arial"/>
          <w:color w:val="000000"/>
          <w:sz w:val="22"/>
          <w:lang w:eastAsia="en-GB"/>
        </w:rPr>
        <w:t xml:space="preserve">in NSW </w:t>
      </w:r>
      <w:r w:rsidR="00B00D4D">
        <w:rPr>
          <w:rFonts w:ascii="Public Sans" w:hAnsi="Public Sans" w:cs="Arial"/>
          <w:color w:val="000000"/>
          <w:sz w:val="22"/>
          <w:lang w:eastAsia="en-GB"/>
        </w:rPr>
        <w:t xml:space="preserve">requires attorneys to accept that they cannot gain a benefit from being an attorney unless expressly authorised. While we appreciate that this may be included in the currently proposed provisions (such as to comply with the EPOA), </w:t>
      </w:r>
      <w:r w:rsidR="00BB25DA">
        <w:rPr>
          <w:rFonts w:ascii="Public Sans" w:hAnsi="Public Sans" w:cs="Arial"/>
          <w:color w:val="000000"/>
          <w:sz w:val="22"/>
          <w:lang w:eastAsia="en-GB"/>
        </w:rPr>
        <w:t xml:space="preserve">in our view </w:t>
      </w:r>
      <w:r w:rsidR="00500056">
        <w:rPr>
          <w:rFonts w:ascii="Public Sans" w:hAnsi="Public Sans" w:cs="Arial"/>
          <w:color w:val="000000"/>
          <w:sz w:val="22"/>
          <w:lang w:eastAsia="en-GB"/>
        </w:rPr>
        <w:t>attorney</w:t>
      </w:r>
      <w:r w:rsidR="00BB25DA">
        <w:rPr>
          <w:rFonts w:ascii="Public Sans" w:hAnsi="Public Sans" w:cs="Arial"/>
          <w:color w:val="000000"/>
          <w:sz w:val="22"/>
          <w:lang w:eastAsia="en-GB"/>
        </w:rPr>
        <w:t xml:space="preserve"> duties in relation to benefits and gifts should be specifically called out</w:t>
      </w:r>
      <w:r w:rsidR="002A523B">
        <w:rPr>
          <w:rFonts w:ascii="Public Sans" w:hAnsi="Public Sans" w:cs="Arial"/>
          <w:color w:val="000000"/>
          <w:sz w:val="22"/>
          <w:lang w:eastAsia="en-GB"/>
        </w:rPr>
        <w:t xml:space="preserve"> in the model provisions</w:t>
      </w:r>
      <w:r w:rsidR="00BB25DA">
        <w:rPr>
          <w:rFonts w:ascii="Public Sans" w:hAnsi="Public Sans" w:cs="Arial"/>
          <w:color w:val="000000"/>
          <w:sz w:val="22"/>
          <w:lang w:eastAsia="en-GB"/>
        </w:rPr>
        <w:t xml:space="preserve">. The ADC commonly encounters </w:t>
      </w:r>
      <w:r w:rsidR="00500056">
        <w:rPr>
          <w:rFonts w:ascii="Public Sans" w:hAnsi="Public Sans" w:cs="Arial"/>
          <w:color w:val="000000"/>
          <w:sz w:val="22"/>
          <w:lang w:eastAsia="en-GB"/>
        </w:rPr>
        <w:t xml:space="preserve">inappropriate </w:t>
      </w:r>
      <w:r w:rsidR="00BB25DA">
        <w:rPr>
          <w:rFonts w:ascii="Public Sans" w:hAnsi="Public Sans" w:cs="Arial"/>
          <w:color w:val="000000"/>
          <w:sz w:val="22"/>
          <w:lang w:eastAsia="en-GB"/>
        </w:rPr>
        <w:t xml:space="preserve">use of </w:t>
      </w:r>
      <w:r w:rsidR="00500056">
        <w:rPr>
          <w:rFonts w:ascii="Public Sans" w:hAnsi="Public Sans" w:cs="Arial"/>
          <w:color w:val="000000"/>
          <w:sz w:val="22"/>
          <w:lang w:eastAsia="en-GB"/>
        </w:rPr>
        <w:t xml:space="preserve">the </w:t>
      </w:r>
      <w:r w:rsidR="00BB25DA">
        <w:rPr>
          <w:rFonts w:ascii="Public Sans" w:hAnsi="Public Sans" w:cs="Arial"/>
          <w:color w:val="000000"/>
          <w:sz w:val="22"/>
          <w:lang w:eastAsia="en-GB"/>
        </w:rPr>
        <w:t xml:space="preserve">EPOAs </w:t>
      </w:r>
      <w:r w:rsidR="00500056">
        <w:rPr>
          <w:rFonts w:ascii="Public Sans" w:hAnsi="Public Sans" w:cs="Arial"/>
          <w:color w:val="000000"/>
          <w:sz w:val="22"/>
          <w:lang w:eastAsia="en-GB"/>
        </w:rPr>
        <w:t xml:space="preserve">of older people and adults with disability </w:t>
      </w:r>
      <w:r w:rsidR="00BB25DA">
        <w:rPr>
          <w:rFonts w:ascii="Public Sans" w:hAnsi="Public Sans" w:cs="Arial"/>
          <w:color w:val="000000"/>
          <w:sz w:val="22"/>
          <w:lang w:eastAsia="en-GB"/>
        </w:rPr>
        <w:t xml:space="preserve">associated with </w:t>
      </w:r>
      <w:r w:rsidR="00500056">
        <w:rPr>
          <w:rFonts w:ascii="Public Sans" w:hAnsi="Public Sans" w:cs="Arial"/>
          <w:color w:val="000000"/>
          <w:sz w:val="22"/>
          <w:lang w:eastAsia="en-GB"/>
        </w:rPr>
        <w:t>a poor understanding by</w:t>
      </w:r>
      <w:r w:rsidR="00BB25DA">
        <w:rPr>
          <w:rFonts w:ascii="Public Sans" w:hAnsi="Public Sans" w:cs="Arial"/>
          <w:color w:val="000000"/>
          <w:sz w:val="22"/>
          <w:lang w:eastAsia="en-GB"/>
        </w:rPr>
        <w:t xml:space="preserve"> attorneys as to what </w:t>
      </w:r>
      <w:r w:rsidR="00500056">
        <w:rPr>
          <w:rFonts w:ascii="Public Sans" w:hAnsi="Public Sans" w:cs="Arial"/>
          <w:color w:val="000000"/>
          <w:sz w:val="22"/>
          <w:lang w:eastAsia="en-GB"/>
        </w:rPr>
        <w:t>they can and cannot do in relation to gifts and benefits, with significant adverse consequences for the principal</w:t>
      </w:r>
      <w:r w:rsidR="00BB25DA">
        <w:rPr>
          <w:rFonts w:ascii="Public Sans" w:hAnsi="Public Sans" w:cs="Arial"/>
          <w:color w:val="000000"/>
          <w:sz w:val="22"/>
          <w:lang w:eastAsia="en-GB"/>
        </w:rPr>
        <w:t xml:space="preserve">.  </w:t>
      </w:r>
    </w:p>
    <w:p w14:paraId="0E0BCE47" w14:textId="345D0CB8" w:rsidR="00276433" w:rsidRDefault="00276433" w:rsidP="00CA1E88">
      <w:pPr>
        <w:rPr>
          <w:rFonts w:ascii="Public Sans" w:eastAsia="Times New Roman" w:hAnsi="Public Sans" w:cs="Arial"/>
          <w:color w:val="000000"/>
          <w:sz w:val="22"/>
          <w:lang w:eastAsia="en-GB"/>
        </w:rPr>
      </w:pPr>
    </w:p>
    <w:p w14:paraId="337DC0EA" w14:textId="6E975DF3" w:rsidR="002948CF" w:rsidRDefault="002948CF" w:rsidP="002948CF">
      <w:pPr>
        <w:rPr>
          <w:rFonts w:ascii="Public Sans" w:eastAsia="Times New Roman" w:hAnsi="Public Sans" w:cs="Arial"/>
          <w:color w:val="000000"/>
          <w:sz w:val="22"/>
          <w:lang w:eastAsia="en-GB"/>
        </w:rPr>
      </w:pPr>
      <w:r>
        <w:rPr>
          <w:rFonts w:ascii="Public Sans" w:eastAsia="Times New Roman" w:hAnsi="Public Sans" w:cs="Arial"/>
          <w:color w:val="000000"/>
          <w:sz w:val="22"/>
          <w:lang w:eastAsia="en-GB"/>
        </w:rPr>
        <w:t xml:space="preserve">The ADC </w:t>
      </w:r>
      <w:r w:rsidR="00A22D01">
        <w:rPr>
          <w:rFonts w:ascii="Public Sans" w:eastAsia="Times New Roman" w:hAnsi="Public Sans" w:cs="Arial"/>
          <w:color w:val="000000"/>
          <w:sz w:val="22"/>
          <w:lang w:eastAsia="en-GB"/>
        </w:rPr>
        <w:t xml:space="preserve">supports </w:t>
      </w:r>
      <w:r>
        <w:rPr>
          <w:rFonts w:ascii="Public Sans" w:eastAsia="Times New Roman" w:hAnsi="Public Sans" w:cs="Arial"/>
          <w:color w:val="000000"/>
          <w:sz w:val="22"/>
          <w:lang w:eastAsia="en-GB"/>
        </w:rPr>
        <w:t xml:space="preserve">the </w:t>
      </w:r>
      <w:r w:rsidR="00A22D01">
        <w:rPr>
          <w:rFonts w:ascii="Public Sans" w:eastAsia="Times New Roman" w:hAnsi="Public Sans" w:cs="Arial"/>
          <w:color w:val="000000"/>
          <w:sz w:val="22"/>
          <w:lang w:eastAsia="en-GB"/>
        </w:rPr>
        <w:t xml:space="preserve">inclusion of </w:t>
      </w:r>
      <w:r>
        <w:rPr>
          <w:rFonts w:ascii="Public Sans" w:eastAsia="Times New Roman" w:hAnsi="Public Sans" w:cs="Arial"/>
          <w:color w:val="000000"/>
          <w:sz w:val="22"/>
          <w:lang w:eastAsia="en-GB"/>
        </w:rPr>
        <w:t>a model provision t</w:t>
      </w:r>
      <w:r w:rsidR="00A22D01">
        <w:rPr>
          <w:rFonts w:ascii="Public Sans" w:eastAsia="Times New Roman" w:hAnsi="Public Sans" w:cs="Arial"/>
          <w:color w:val="000000"/>
          <w:sz w:val="22"/>
          <w:lang w:eastAsia="en-GB"/>
        </w:rPr>
        <w:t>hat</w:t>
      </w:r>
      <w:r>
        <w:rPr>
          <w:rFonts w:ascii="Public Sans" w:eastAsia="Times New Roman" w:hAnsi="Public Sans" w:cs="Arial"/>
          <w:color w:val="000000"/>
          <w:sz w:val="22"/>
          <w:lang w:eastAsia="en-GB"/>
        </w:rPr>
        <w:t xml:space="preserve"> make</w:t>
      </w:r>
      <w:r w:rsidR="00A22D01">
        <w:rPr>
          <w:rFonts w:ascii="Public Sans" w:eastAsia="Times New Roman" w:hAnsi="Public Sans" w:cs="Arial"/>
          <w:color w:val="000000"/>
          <w:sz w:val="22"/>
          <w:lang w:eastAsia="en-GB"/>
        </w:rPr>
        <w:t>s</w:t>
      </w:r>
      <w:r>
        <w:rPr>
          <w:rFonts w:ascii="Public Sans" w:eastAsia="Times New Roman" w:hAnsi="Public Sans" w:cs="Arial"/>
          <w:color w:val="000000"/>
          <w:sz w:val="22"/>
          <w:lang w:eastAsia="en-GB"/>
        </w:rPr>
        <w:t xml:space="preserve"> it explicit that an attorney must, to the greatest extent practicable, seek and take into account the will and preference of the principal</w:t>
      </w:r>
      <w:r w:rsidR="00A22D01">
        <w:rPr>
          <w:rFonts w:ascii="Public Sans" w:eastAsia="Times New Roman" w:hAnsi="Public Sans" w:cs="Arial"/>
          <w:color w:val="000000"/>
          <w:sz w:val="22"/>
          <w:lang w:eastAsia="en-GB"/>
        </w:rPr>
        <w:t>, and support the principal to participate as much as possible in the decisions affecting them</w:t>
      </w:r>
      <w:r>
        <w:rPr>
          <w:rFonts w:ascii="Public Sans" w:eastAsia="Times New Roman" w:hAnsi="Public Sans" w:cs="Arial"/>
          <w:color w:val="000000"/>
          <w:sz w:val="22"/>
          <w:lang w:eastAsia="en-GB"/>
        </w:rPr>
        <w:t xml:space="preserve">. </w:t>
      </w:r>
      <w:r w:rsidR="00A22D01">
        <w:rPr>
          <w:rFonts w:ascii="Public Sans" w:eastAsia="Times New Roman" w:hAnsi="Public Sans" w:cs="Arial"/>
          <w:color w:val="000000"/>
          <w:sz w:val="22"/>
          <w:lang w:eastAsia="en-GB"/>
        </w:rPr>
        <w:t xml:space="preserve">In our experience, it is currently much too easy for attorneys in NSW to make decisions for the principal without seeking their views or preferences or involving them at all. </w:t>
      </w:r>
      <w:r w:rsidR="00D62ADD">
        <w:rPr>
          <w:rFonts w:ascii="Public Sans" w:eastAsia="Times New Roman" w:hAnsi="Public Sans" w:cs="Arial"/>
          <w:color w:val="000000"/>
          <w:sz w:val="22"/>
          <w:lang w:eastAsia="en-GB"/>
        </w:rPr>
        <w:t>In our view, the principles in t</w:t>
      </w:r>
      <w:r w:rsidR="00A22D01">
        <w:rPr>
          <w:rFonts w:ascii="Public Sans" w:eastAsia="Times New Roman" w:hAnsi="Public Sans" w:cs="Arial"/>
          <w:color w:val="000000"/>
          <w:sz w:val="22"/>
          <w:lang w:eastAsia="en-GB"/>
        </w:rPr>
        <w:t>he Victorian</w:t>
      </w:r>
      <w:r w:rsidR="006C1540">
        <w:rPr>
          <w:rFonts w:ascii="Public Sans" w:eastAsia="Times New Roman" w:hAnsi="Public Sans" w:cs="Arial"/>
          <w:color w:val="000000"/>
          <w:sz w:val="22"/>
          <w:lang w:eastAsia="en-GB"/>
        </w:rPr>
        <w:t xml:space="preserve"> and Queensland Acts m</w:t>
      </w:r>
      <w:r w:rsidR="00D62ADD">
        <w:rPr>
          <w:rFonts w:ascii="Public Sans" w:eastAsia="Times New Roman" w:hAnsi="Public Sans" w:cs="Arial"/>
          <w:color w:val="000000"/>
          <w:sz w:val="22"/>
          <w:lang w:eastAsia="en-GB"/>
        </w:rPr>
        <w:t>ay</w:t>
      </w:r>
      <w:r w:rsidR="00A22D01">
        <w:rPr>
          <w:rFonts w:ascii="Public Sans" w:eastAsia="Times New Roman" w:hAnsi="Public Sans" w:cs="Arial"/>
          <w:color w:val="000000"/>
          <w:sz w:val="22"/>
          <w:lang w:eastAsia="en-GB"/>
        </w:rPr>
        <w:t xml:space="preserve"> provide </w:t>
      </w:r>
      <w:r w:rsidR="00D62ADD">
        <w:rPr>
          <w:rFonts w:ascii="Public Sans" w:eastAsia="Times New Roman" w:hAnsi="Public Sans" w:cs="Arial"/>
          <w:color w:val="000000"/>
          <w:sz w:val="22"/>
          <w:lang w:eastAsia="en-GB"/>
        </w:rPr>
        <w:t xml:space="preserve">a useful guide </w:t>
      </w:r>
      <w:r w:rsidR="006C1540">
        <w:rPr>
          <w:rFonts w:ascii="Public Sans" w:eastAsia="Times New Roman" w:hAnsi="Public Sans" w:cs="Arial"/>
          <w:color w:val="000000"/>
          <w:sz w:val="22"/>
          <w:lang w:eastAsia="en-GB"/>
        </w:rPr>
        <w:t>to inform</w:t>
      </w:r>
      <w:r w:rsidR="00D62ADD">
        <w:rPr>
          <w:rFonts w:ascii="Public Sans" w:eastAsia="Times New Roman" w:hAnsi="Public Sans" w:cs="Arial"/>
          <w:color w:val="000000"/>
          <w:sz w:val="22"/>
          <w:lang w:eastAsia="en-GB"/>
        </w:rPr>
        <w:t xml:space="preserve"> the development of a model provision. </w:t>
      </w:r>
    </w:p>
    <w:p w14:paraId="64E4D10A" w14:textId="77777777" w:rsidR="009255A4" w:rsidRDefault="009255A4" w:rsidP="009255A4"/>
    <w:p w14:paraId="799302F7" w14:textId="44A96F33" w:rsidR="00417CC3" w:rsidRPr="00E238FA" w:rsidRDefault="006F4793" w:rsidP="006F4793">
      <w:pPr>
        <w:spacing w:after="120"/>
        <w:rPr>
          <w:rFonts w:ascii="Public Sans" w:eastAsia="Times New Roman" w:hAnsi="Public Sans" w:cs="Arial"/>
          <w:b/>
          <w:bCs/>
          <w:color w:val="002060"/>
          <w:sz w:val="24"/>
          <w:szCs w:val="24"/>
          <w:lang w:eastAsia="en-GB"/>
        </w:rPr>
      </w:pPr>
      <w:r w:rsidRPr="00E238FA">
        <w:rPr>
          <w:rFonts w:ascii="Public Sans" w:eastAsia="Times New Roman" w:hAnsi="Public Sans" w:cs="Arial"/>
          <w:b/>
          <w:bCs/>
          <w:color w:val="002060"/>
          <w:sz w:val="24"/>
          <w:szCs w:val="24"/>
          <w:lang w:eastAsia="en-GB"/>
        </w:rPr>
        <w:t>Conditions and limits in EPOAs</w:t>
      </w:r>
    </w:p>
    <w:p w14:paraId="1835BABC" w14:textId="3E322678" w:rsidR="005D62FF" w:rsidRDefault="00C047E4" w:rsidP="00C047E4">
      <w:pPr>
        <w:rPr>
          <w:rFonts w:ascii="Public Sans" w:eastAsia="Times New Roman" w:hAnsi="Public Sans" w:cs="Arial"/>
          <w:color w:val="000000"/>
          <w:sz w:val="22"/>
          <w:lang w:eastAsia="en-GB"/>
        </w:rPr>
      </w:pPr>
      <w:r>
        <w:rPr>
          <w:rFonts w:ascii="Public Sans" w:eastAsia="Times New Roman" w:hAnsi="Public Sans" w:cs="Arial"/>
          <w:color w:val="000000"/>
          <w:sz w:val="22"/>
          <w:lang w:eastAsia="en-GB"/>
        </w:rPr>
        <w:t xml:space="preserve">We agree that few EPOAs tend to have any conditions or limits placed on the powers of the attorney. In our experience, this is often due to the fact that the principal is appointing a close family member they trust, and they do not anticipate that this trust will be abused </w:t>
      </w:r>
      <w:r w:rsidR="00BB6489">
        <w:rPr>
          <w:rFonts w:ascii="Public Sans" w:eastAsia="Times New Roman" w:hAnsi="Public Sans" w:cs="Arial"/>
          <w:color w:val="000000"/>
          <w:sz w:val="22"/>
          <w:lang w:eastAsia="en-GB"/>
        </w:rPr>
        <w:t>and/</w:t>
      </w:r>
      <w:r>
        <w:rPr>
          <w:rFonts w:ascii="Public Sans" w:eastAsia="Times New Roman" w:hAnsi="Public Sans" w:cs="Arial"/>
          <w:color w:val="000000"/>
          <w:sz w:val="22"/>
          <w:lang w:eastAsia="en-GB"/>
        </w:rPr>
        <w:t xml:space="preserve">or </w:t>
      </w:r>
      <w:r w:rsidR="00D6491F">
        <w:rPr>
          <w:rFonts w:ascii="Public Sans" w:eastAsia="Times New Roman" w:hAnsi="Public Sans" w:cs="Arial"/>
          <w:color w:val="000000"/>
          <w:sz w:val="22"/>
          <w:lang w:eastAsia="en-GB"/>
        </w:rPr>
        <w:t xml:space="preserve">do not </w:t>
      </w:r>
      <w:r>
        <w:rPr>
          <w:rFonts w:ascii="Public Sans" w:eastAsia="Times New Roman" w:hAnsi="Public Sans" w:cs="Arial"/>
          <w:color w:val="000000"/>
          <w:sz w:val="22"/>
          <w:lang w:eastAsia="en-GB"/>
        </w:rPr>
        <w:t xml:space="preserve">wish to potentially offend or deter the person from acting as their attorney or affect their relationship. </w:t>
      </w:r>
    </w:p>
    <w:p w14:paraId="7CF1E6D9" w14:textId="77777777" w:rsidR="005D62FF" w:rsidRDefault="005D62FF" w:rsidP="00C047E4">
      <w:pPr>
        <w:rPr>
          <w:rFonts w:ascii="Public Sans" w:eastAsia="Times New Roman" w:hAnsi="Public Sans" w:cs="Arial"/>
          <w:color w:val="000000"/>
          <w:sz w:val="22"/>
          <w:lang w:eastAsia="en-GB"/>
        </w:rPr>
      </w:pPr>
    </w:p>
    <w:p w14:paraId="0E0429C2" w14:textId="604973F2" w:rsidR="00C047E4" w:rsidRDefault="00C047E4" w:rsidP="00C047E4">
      <w:pPr>
        <w:rPr>
          <w:rFonts w:ascii="Public Sans" w:eastAsia="Times New Roman" w:hAnsi="Public Sans" w:cs="Arial"/>
          <w:color w:val="000000"/>
          <w:sz w:val="22"/>
          <w:lang w:eastAsia="en-GB"/>
        </w:rPr>
      </w:pPr>
      <w:r>
        <w:rPr>
          <w:rFonts w:ascii="Public Sans" w:eastAsia="Times New Roman" w:hAnsi="Public Sans" w:cs="Arial"/>
          <w:color w:val="000000"/>
          <w:sz w:val="22"/>
          <w:lang w:eastAsia="en-GB"/>
        </w:rPr>
        <w:t>In our view, it would be easier for principals to include conditions or limits if:</w:t>
      </w:r>
    </w:p>
    <w:p w14:paraId="6420E5B8" w14:textId="3C03E607" w:rsidR="00BB6489" w:rsidRDefault="00BB6489" w:rsidP="005D62FF">
      <w:pPr>
        <w:pStyle w:val="ListParagraph0"/>
        <w:numPr>
          <w:ilvl w:val="0"/>
          <w:numId w:val="41"/>
        </w:numPr>
        <w:spacing w:after="0" w:line="240" w:lineRule="auto"/>
        <w:ind w:left="714" w:hanging="357"/>
        <w:rPr>
          <w:rFonts w:ascii="Public Sans" w:hAnsi="Public Sans" w:cs="Arial"/>
          <w:color w:val="000000"/>
          <w:sz w:val="22"/>
          <w:lang w:eastAsia="en-GB"/>
        </w:rPr>
      </w:pPr>
      <w:r>
        <w:rPr>
          <w:rFonts w:ascii="Public Sans" w:hAnsi="Public Sans" w:cs="Arial"/>
          <w:color w:val="000000"/>
          <w:sz w:val="22"/>
          <w:lang w:eastAsia="en-GB"/>
        </w:rPr>
        <w:t xml:space="preserve">there </w:t>
      </w:r>
      <w:r w:rsidR="006F4793">
        <w:rPr>
          <w:rFonts w:ascii="Public Sans" w:hAnsi="Public Sans" w:cs="Arial"/>
          <w:color w:val="000000"/>
          <w:sz w:val="22"/>
          <w:lang w:eastAsia="en-GB"/>
        </w:rPr>
        <w:t>wa</w:t>
      </w:r>
      <w:r>
        <w:rPr>
          <w:rFonts w:ascii="Public Sans" w:hAnsi="Public Sans" w:cs="Arial"/>
          <w:color w:val="000000"/>
          <w:sz w:val="22"/>
          <w:lang w:eastAsia="en-GB"/>
        </w:rPr>
        <w:t xml:space="preserve">s </w:t>
      </w:r>
      <w:r w:rsidR="006F4793">
        <w:rPr>
          <w:rFonts w:ascii="Public Sans" w:hAnsi="Public Sans" w:cs="Arial"/>
          <w:color w:val="000000"/>
          <w:sz w:val="22"/>
          <w:lang w:eastAsia="en-GB"/>
        </w:rPr>
        <w:t>easy to understand</w:t>
      </w:r>
      <w:r>
        <w:rPr>
          <w:rFonts w:ascii="Public Sans" w:hAnsi="Public Sans" w:cs="Arial"/>
          <w:color w:val="000000"/>
          <w:sz w:val="22"/>
          <w:lang w:eastAsia="en-GB"/>
        </w:rPr>
        <w:t xml:space="preserve"> and accessible information for principals and attorneys that identifie</w:t>
      </w:r>
      <w:r w:rsidR="00D6491F">
        <w:rPr>
          <w:rFonts w:ascii="Public Sans" w:hAnsi="Public Sans" w:cs="Arial"/>
          <w:color w:val="000000"/>
          <w:sz w:val="22"/>
          <w:lang w:eastAsia="en-GB"/>
        </w:rPr>
        <w:t>d</w:t>
      </w:r>
      <w:r>
        <w:rPr>
          <w:rFonts w:ascii="Public Sans" w:hAnsi="Public Sans" w:cs="Arial"/>
          <w:color w:val="000000"/>
          <w:sz w:val="22"/>
          <w:lang w:eastAsia="en-GB"/>
        </w:rPr>
        <w:t xml:space="preserve"> that certain conditions and limits are standard or good practice and help to protect both the principal and the attorney</w:t>
      </w:r>
      <w:r w:rsidR="006F4793">
        <w:rPr>
          <w:rFonts w:ascii="Public Sans" w:hAnsi="Public Sans" w:cs="Arial"/>
          <w:color w:val="000000"/>
          <w:sz w:val="22"/>
          <w:lang w:eastAsia="en-GB"/>
        </w:rPr>
        <w:t xml:space="preserve"> (with clear and practical examples)</w:t>
      </w:r>
    </w:p>
    <w:p w14:paraId="550299B2" w14:textId="0926702B" w:rsidR="00BB6489" w:rsidRDefault="00BB6489" w:rsidP="005D62FF">
      <w:pPr>
        <w:pStyle w:val="ListParagraph0"/>
        <w:numPr>
          <w:ilvl w:val="0"/>
          <w:numId w:val="41"/>
        </w:numPr>
        <w:spacing w:after="0" w:line="240" w:lineRule="auto"/>
        <w:ind w:left="714" w:hanging="357"/>
        <w:rPr>
          <w:rFonts w:ascii="Public Sans" w:hAnsi="Public Sans" w:cs="Arial"/>
          <w:color w:val="000000"/>
          <w:sz w:val="22"/>
          <w:lang w:eastAsia="en-GB"/>
        </w:rPr>
      </w:pPr>
      <w:r>
        <w:rPr>
          <w:rFonts w:ascii="Public Sans" w:hAnsi="Public Sans" w:cs="Arial"/>
          <w:color w:val="000000"/>
          <w:sz w:val="22"/>
          <w:lang w:eastAsia="en-GB"/>
        </w:rPr>
        <w:t xml:space="preserve">there </w:t>
      </w:r>
      <w:r w:rsidR="006F4793">
        <w:rPr>
          <w:rFonts w:ascii="Public Sans" w:hAnsi="Public Sans" w:cs="Arial"/>
          <w:color w:val="000000"/>
          <w:sz w:val="22"/>
          <w:lang w:eastAsia="en-GB"/>
        </w:rPr>
        <w:t>wa</w:t>
      </w:r>
      <w:r>
        <w:rPr>
          <w:rFonts w:ascii="Public Sans" w:hAnsi="Public Sans" w:cs="Arial"/>
          <w:color w:val="000000"/>
          <w:sz w:val="22"/>
          <w:lang w:eastAsia="en-GB"/>
        </w:rPr>
        <w:t xml:space="preserve">s agreed information in relation to conditions and limits </w:t>
      </w:r>
      <w:r w:rsidR="006F4793">
        <w:rPr>
          <w:rFonts w:ascii="Public Sans" w:hAnsi="Public Sans" w:cs="Arial"/>
          <w:color w:val="000000"/>
          <w:sz w:val="22"/>
          <w:lang w:eastAsia="en-GB"/>
        </w:rPr>
        <w:t>that must be discussed with the principal when the EPOA is explained to them prior to executing the instrument</w:t>
      </w:r>
    </w:p>
    <w:p w14:paraId="50C29D51" w14:textId="62059EE5" w:rsidR="00C047E4" w:rsidRDefault="00C047E4" w:rsidP="005D62FF">
      <w:pPr>
        <w:pStyle w:val="ListParagraph0"/>
        <w:numPr>
          <w:ilvl w:val="0"/>
          <w:numId w:val="41"/>
        </w:numPr>
        <w:spacing w:after="0" w:line="240" w:lineRule="auto"/>
        <w:ind w:left="714" w:hanging="357"/>
        <w:rPr>
          <w:rFonts w:ascii="Public Sans" w:hAnsi="Public Sans" w:cs="Arial"/>
          <w:color w:val="000000"/>
          <w:sz w:val="22"/>
          <w:lang w:eastAsia="en-GB"/>
        </w:rPr>
      </w:pPr>
      <w:r>
        <w:rPr>
          <w:rFonts w:ascii="Public Sans" w:hAnsi="Public Sans" w:cs="Arial"/>
          <w:color w:val="000000"/>
          <w:sz w:val="22"/>
          <w:lang w:eastAsia="en-GB"/>
        </w:rPr>
        <w:lastRenderedPageBreak/>
        <w:t xml:space="preserve">the </w:t>
      </w:r>
      <w:r w:rsidR="00BB6489">
        <w:rPr>
          <w:rFonts w:ascii="Public Sans" w:hAnsi="Public Sans" w:cs="Arial"/>
          <w:color w:val="000000"/>
          <w:sz w:val="22"/>
          <w:lang w:eastAsia="en-GB"/>
        </w:rPr>
        <w:t xml:space="preserve">prescribed </w:t>
      </w:r>
      <w:r>
        <w:rPr>
          <w:rFonts w:ascii="Public Sans" w:hAnsi="Public Sans" w:cs="Arial"/>
          <w:color w:val="000000"/>
          <w:sz w:val="22"/>
          <w:lang w:eastAsia="en-GB"/>
        </w:rPr>
        <w:t xml:space="preserve">form helped to set a greater expectation that certain conditions/limits are standard </w:t>
      </w:r>
      <w:r w:rsidR="006F4793">
        <w:rPr>
          <w:rFonts w:ascii="Public Sans" w:hAnsi="Public Sans" w:cs="Arial"/>
          <w:color w:val="000000"/>
          <w:sz w:val="22"/>
          <w:lang w:eastAsia="en-GB"/>
        </w:rPr>
        <w:t xml:space="preserve">or good </w:t>
      </w:r>
      <w:r>
        <w:rPr>
          <w:rFonts w:ascii="Public Sans" w:hAnsi="Public Sans" w:cs="Arial"/>
          <w:color w:val="000000"/>
          <w:sz w:val="22"/>
          <w:lang w:eastAsia="en-GB"/>
        </w:rPr>
        <w:t xml:space="preserve">practice – </w:t>
      </w:r>
      <w:r w:rsidR="006F4793">
        <w:rPr>
          <w:rFonts w:ascii="Public Sans" w:hAnsi="Public Sans" w:cs="Arial"/>
          <w:color w:val="000000"/>
          <w:sz w:val="22"/>
          <w:lang w:eastAsia="en-GB"/>
        </w:rPr>
        <w:t xml:space="preserve">for example, </w:t>
      </w:r>
      <w:r>
        <w:rPr>
          <w:rFonts w:ascii="Public Sans" w:hAnsi="Public Sans" w:cs="Arial"/>
          <w:color w:val="000000"/>
          <w:sz w:val="22"/>
          <w:lang w:eastAsia="en-GB"/>
        </w:rPr>
        <w:t xml:space="preserve">including additional check boxes </w:t>
      </w:r>
      <w:r w:rsidR="00D6491F">
        <w:rPr>
          <w:rFonts w:ascii="Public Sans" w:hAnsi="Public Sans" w:cs="Arial"/>
          <w:color w:val="000000"/>
          <w:sz w:val="22"/>
          <w:lang w:eastAsia="en-GB"/>
        </w:rPr>
        <w:t xml:space="preserve">that identify the more common good practice conditions/ limits </w:t>
      </w:r>
      <w:r>
        <w:rPr>
          <w:rFonts w:ascii="Public Sans" w:hAnsi="Public Sans" w:cs="Arial"/>
          <w:color w:val="000000"/>
          <w:sz w:val="22"/>
          <w:lang w:eastAsia="en-GB"/>
        </w:rPr>
        <w:t xml:space="preserve">for the principal to tick if they want </w:t>
      </w:r>
      <w:r w:rsidR="00D6491F">
        <w:rPr>
          <w:rFonts w:ascii="Public Sans" w:hAnsi="Public Sans" w:cs="Arial"/>
          <w:color w:val="000000"/>
          <w:sz w:val="22"/>
          <w:lang w:eastAsia="en-GB"/>
        </w:rPr>
        <w:t>these included</w:t>
      </w:r>
      <w:r>
        <w:rPr>
          <w:rFonts w:ascii="Public Sans" w:hAnsi="Public Sans" w:cs="Arial"/>
          <w:color w:val="000000"/>
          <w:sz w:val="22"/>
          <w:lang w:eastAsia="en-GB"/>
        </w:rPr>
        <w:t xml:space="preserve"> </w:t>
      </w:r>
      <w:r w:rsidR="006F4793">
        <w:rPr>
          <w:rFonts w:ascii="Public Sans" w:hAnsi="Public Sans" w:cs="Arial"/>
          <w:color w:val="000000"/>
          <w:sz w:val="22"/>
          <w:lang w:eastAsia="en-GB"/>
        </w:rPr>
        <w:t>(with additional free text field for other specific conditions or limits).</w:t>
      </w:r>
    </w:p>
    <w:p w14:paraId="60DFA259" w14:textId="2E95D3D7" w:rsidR="00C047E4" w:rsidRPr="00BF6B5D" w:rsidRDefault="00C047E4" w:rsidP="006F4793">
      <w:pPr>
        <w:rPr>
          <w:rFonts w:ascii="Public Sans" w:hAnsi="Public Sans" w:cs="Arial"/>
          <w:color w:val="000000"/>
          <w:sz w:val="22"/>
          <w:lang w:eastAsia="en-GB"/>
        </w:rPr>
      </w:pPr>
    </w:p>
    <w:p w14:paraId="44ECA4B7" w14:textId="20036480" w:rsidR="00BF6B5D" w:rsidRPr="00E238FA" w:rsidRDefault="00BF6B5D" w:rsidP="00BF6B5D">
      <w:pPr>
        <w:spacing w:after="120"/>
        <w:rPr>
          <w:rFonts w:ascii="Public Sans" w:hAnsi="Public Sans" w:cs="Arial"/>
          <w:b/>
          <w:bCs/>
          <w:color w:val="000000"/>
          <w:sz w:val="24"/>
          <w:szCs w:val="24"/>
          <w:lang w:eastAsia="en-GB"/>
        </w:rPr>
      </w:pPr>
      <w:r w:rsidRPr="00E238FA">
        <w:rPr>
          <w:rFonts w:ascii="Public Sans" w:hAnsi="Public Sans" w:cs="Arial"/>
          <w:b/>
          <w:bCs/>
          <w:color w:val="002060"/>
          <w:sz w:val="24"/>
          <w:szCs w:val="24"/>
          <w:lang w:eastAsia="en-GB"/>
        </w:rPr>
        <w:t>Commencement of EPOA</w:t>
      </w:r>
    </w:p>
    <w:p w14:paraId="2463AB0E" w14:textId="32844D68" w:rsidR="00930F4E" w:rsidRDefault="00930F4E" w:rsidP="00C047E4">
      <w:pPr>
        <w:rPr>
          <w:rFonts w:ascii="Public Sans" w:eastAsia="Times New Roman" w:hAnsi="Public Sans" w:cs="Arial"/>
          <w:color w:val="000000"/>
          <w:sz w:val="22"/>
          <w:lang w:eastAsia="en-GB"/>
        </w:rPr>
      </w:pPr>
      <w:r>
        <w:rPr>
          <w:rFonts w:ascii="Public Sans" w:eastAsia="Times New Roman" w:hAnsi="Public Sans" w:cs="Arial"/>
          <w:color w:val="000000"/>
          <w:sz w:val="22"/>
          <w:lang w:eastAsia="en-GB"/>
        </w:rPr>
        <w:t xml:space="preserve">An area that the ADC would particularly like to see </w:t>
      </w:r>
      <w:r w:rsidR="00BF6B5D">
        <w:rPr>
          <w:rFonts w:ascii="Public Sans" w:eastAsia="Times New Roman" w:hAnsi="Public Sans" w:cs="Arial"/>
          <w:color w:val="000000"/>
          <w:sz w:val="22"/>
          <w:lang w:eastAsia="en-GB"/>
        </w:rPr>
        <w:t xml:space="preserve">considered as part of this consultation is when </w:t>
      </w:r>
      <w:r>
        <w:rPr>
          <w:rFonts w:ascii="Public Sans" w:eastAsia="Times New Roman" w:hAnsi="Public Sans" w:cs="Arial"/>
          <w:color w:val="000000"/>
          <w:sz w:val="22"/>
          <w:lang w:eastAsia="en-GB"/>
        </w:rPr>
        <w:t xml:space="preserve">the instrument should commence. The prescribed form in NSW currently provides principals with four options for when an EPOA could commence, </w:t>
      </w:r>
      <w:r w:rsidR="002579C2">
        <w:rPr>
          <w:rFonts w:ascii="Public Sans" w:eastAsia="Times New Roman" w:hAnsi="Public Sans" w:cs="Arial"/>
          <w:color w:val="000000"/>
          <w:sz w:val="22"/>
          <w:lang w:eastAsia="en-GB"/>
        </w:rPr>
        <w:t xml:space="preserve">which </w:t>
      </w:r>
      <w:r>
        <w:rPr>
          <w:rFonts w:ascii="Public Sans" w:eastAsia="Times New Roman" w:hAnsi="Public Sans" w:cs="Arial"/>
          <w:color w:val="000000"/>
          <w:sz w:val="22"/>
          <w:lang w:eastAsia="en-GB"/>
        </w:rPr>
        <w:t>includ</w:t>
      </w:r>
      <w:r w:rsidR="002579C2">
        <w:rPr>
          <w:rFonts w:ascii="Public Sans" w:eastAsia="Times New Roman" w:hAnsi="Public Sans" w:cs="Arial"/>
          <w:color w:val="000000"/>
          <w:sz w:val="22"/>
          <w:lang w:eastAsia="en-GB"/>
        </w:rPr>
        <w:t>e</w:t>
      </w:r>
      <w:r>
        <w:rPr>
          <w:rFonts w:ascii="Public Sans" w:eastAsia="Times New Roman" w:hAnsi="Public Sans" w:cs="Arial"/>
          <w:color w:val="000000"/>
          <w:sz w:val="22"/>
          <w:lang w:eastAsia="en-GB"/>
        </w:rPr>
        <w:t>:</w:t>
      </w:r>
    </w:p>
    <w:p w14:paraId="5242CEE9" w14:textId="208586DE" w:rsidR="00930F4E" w:rsidRDefault="00930F4E" w:rsidP="00BF6B5D">
      <w:pPr>
        <w:pStyle w:val="ListParagraph0"/>
        <w:numPr>
          <w:ilvl w:val="0"/>
          <w:numId w:val="45"/>
        </w:numPr>
        <w:spacing w:before="60" w:after="0" w:line="240" w:lineRule="auto"/>
        <w:ind w:left="714" w:hanging="357"/>
        <w:rPr>
          <w:rFonts w:ascii="Public Sans" w:hAnsi="Public Sans" w:cs="Arial"/>
          <w:color w:val="000000"/>
          <w:sz w:val="22"/>
          <w:lang w:eastAsia="en-GB"/>
        </w:rPr>
      </w:pPr>
      <w:r>
        <w:rPr>
          <w:rFonts w:ascii="Public Sans" w:hAnsi="Public Sans" w:cs="Arial"/>
          <w:color w:val="000000"/>
          <w:sz w:val="22"/>
          <w:lang w:eastAsia="en-GB"/>
        </w:rPr>
        <w:t>once a medical practitioner considers that I am unable to manage my affairs (and provides a document to that effect), or</w:t>
      </w:r>
    </w:p>
    <w:p w14:paraId="7E642D75" w14:textId="68FC15E2" w:rsidR="00C047E4" w:rsidRPr="00930F4E" w:rsidRDefault="00930F4E" w:rsidP="00BF6B5D">
      <w:pPr>
        <w:pStyle w:val="ListParagraph0"/>
        <w:numPr>
          <w:ilvl w:val="0"/>
          <w:numId w:val="45"/>
        </w:numPr>
        <w:spacing w:before="60" w:after="0" w:line="240" w:lineRule="auto"/>
        <w:ind w:left="714" w:hanging="357"/>
        <w:rPr>
          <w:rFonts w:ascii="Public Sans" w:hAnsi="Public Sans" w:cs="Arial"/>
          <w:color w:val="000000"/>
          <w:sz w:val="22"/>
          <w:lang w:eastAsia="en-GB"/>
        </w:rPr>
      </w:pPr>
      <w:r>
        <w:rPr>
          <w:rFonts w:ascii="Public Sans" w:hAnsi="Public Sans" w:cs="Arial"/>
          <w:color w:val="000000"/>
          <w:sz w:val="22"/>
          <w:lang w:eastAsia="en-GB"/>
        </w:rPr>
        <w:t>once my attorney considers that I need assistance managing my affairs.</w:t>
      </w:r>
    </w:p>
    <w:p w14:paraId="04BFA9E7" w14:textId="47E5A383" w:rsidR="005D62FF" w:rsidRDefault="005D62FF" w:rsidP="00C047E4">
      <w:pPr>
        <w:rPr>
          <w:rFonts w:ascii="Public Sans" w:eastAsia="Times New Roman" w:hAnsi="Public Sans" w:cs="Arial"/>
          <w:color w:val="000000"/>
          <w:sz w:val="22"/>
          <w:lang w:eastAsia="en-GB"/>
        </w:rPr>
      </w:pPr>
    </w:p>
    <w:p w14:paraId="4FBEB2F4" w14:textId="19F9136E" w:rsidR="005D62FF" w:rsidRDefault="004F78E1" w:rsidP="00C047E4">
      <w:pPr>
        <w:rPr>
          <w:rFonts w:ascii="Public Sans" w:eastAsia="Times New Roman" w:hAnsi="Public Sans" w:cs="Arial"/>
          <w:color w:val="000000"/>
          <w:sz w:val="22"/>
          <w:lang w:eastAsia="en-GB"/>
        </w:rPr>
      </w:pPr>
      <w:r>
        <w:rPr>
          <w:rFonts w:ascii="Public Sans" w:eastAsia="Times New Roman" w:hAnsi="Public Sans" w:cs="Arial"/>
          <w:color w:val="000000"/>
          <w:sz w:val="22"/>
          <w:lang w:eastAsia="en-GB"/>
        </w:rPr>
        <w:t>In our experience, the latter option, in which the attorney mak</w:t>
      </w:r>
      <w:r w:rsidR="00B84DCF">
        <w:rPr>
          <w:rFonts w:ascii="Public Sans" w:eastAsia="Times New Roman" w:hAnsi="Public Sans" w:cs="Arial"/>
          <w:color w:val="000000"/>
          <w:sz w:val="22"/>
          <w:lang w:eastAsia="en-GB"/>
        </w:rPr>
        <w:t>es</w:t>
      </w:r>
      <w:r>
        <w:rPr>
          <w:rFonts w:ascii="Public Sans" w:eastAsia="Times New Roman" w:hAnsi="Public Sans" w:cs="Arial"/>
          <w:color w:val="000000"/>
          <w:sz w:val="22"/>
          <w:lang w:eastAsia="en-GB"/>
        </w:rPr>
        <w:t xml:space="preserve"> the decision to commence the EPOA on their own consideration without any assessment or medical opinion, exposes the principal to greater risk of abuse and exploitation. In our handling of reports about misuse of EPOA, we have identified </w:t>
      </w:r>
      <w:r w:rsidR="00B84DCF">
        <w:rPr>
          <w:rFonts w:ascii="Public Sans" w:eastAsia="Times New Roman" w:hAnsi="Public Sans" w:cs="Arial"/>
          <w:color w:val="000000"/>
          <w:sz w:val="22"/>
          <w:lang w:eastAsia="en-GB"/>
        </w:rPr>
        <w:t xml:space="preserve">many </w:t>
      </w:r>
      <w:r>
        <w:rPr>
          <w:rFonts w:ascii="Public Sans" w:eastAsia="Times New Roman" w:hAnsi="Public Sans" w:cs="Arial"/>
          <w:color w:val="000000"/>
          <w:sz w:val="22"/>
          <w:lang w:eastAsia="en-GB"/>
        </w:rPr>
        <w:t>situations in which this provision has been used by attorneys to</w:t>
      </w:r>
      <w:r w:rsidR="00B84DCF">
        <w:rPr>
          <w:rFonts w:ascii="Public Sans" w:eastAsia="Times New Roman" w:hAnsi="Public Sans" w:cs="Arial"/>
          <w:color w:val="000000"/>
          <w:sz w:val="22"/>
          <w:lang w:eastAsia="en-GB"/>
        </w:rPr>
        <w:t xml:space="preserve"> start acting on the EPOA and using the principal’s funds despite</w:t>
      </w:r>
      <w:r>
        <w:rPr>
          <w:rFonts w:ascii="Public Sans" w:eastAsia="Times New Roman" w:hAnsi="Public Sans" w:cs="Arial"/>
          <w:color w:val="000000"/>
          <w:sz w:val="22"/>
          <w:lang w:eastAsia="en-GB"/>
        </w:rPr>
        <w:t>:</w:t>
      </w:r>
    </w:p>
    <w:p w14:paraId="00FEAA01" w14:textId="578D9D09" w:rsidR="00B84DCF" w:rsidRDefault="004F78E1" w:rsidP="00481792">
      <w:pPr>
        <w:pStyle w:val="ListParagraph0"/>
        <w:numPr>
          <w:ilvl w:val="0"/>
          <w:numId w:val="46"/>
        </w:numPr>
        <w:spacing w:before="60" w:after="0" w:line="240" w:lineRule="auto"/>
        <w:ind w:left="714" w:hanging="357"/>
        <w:rPr>
          <w:rFonts w:ascii="Public Sans" w:hAnsi="Public Sans" w:cs="Arial"/>
          <w:color w:val="000000"/>
          <w:sz w:val="22"/>
          <w:lang w:eastAsia="en-GB"/>
        </w:rPr>
      </w:pPr>
      <w:r>
        <w:rPr>
          <w:rFonts w:ascii="Public Sans" w:hAnsi="Public Sans" w:cs="Arial"/>
          <w:color w:val="000000"/>
          <w:sz w:val="22"/>
          <w:lang w:eastAsia="en-GB"/>
        </w:rPr>
        <w:t xml:space="preserve">the principal </w:t>
      </w:r>
      <w:r w:rsidR="00B84DCF">
        <w:rPr>
          <w:rFonts w:ascii="Public Sans" w:hAnsi="Public Sans" w:cs="Arial"/>
          <w:color w:val="000000"/>
          <w:sz w:val="22"/>
          <w:lang w:eastAsia="en-GB"/>
        </w:rPr>
        <w:t xml:space="preserve">still </w:t>
      </w:r>
      <w:r>
        <w:rPr>
          <w:rFonts w:ascii="Public Sans" w:hAnsi="Public Sans" w:cs="Arial"/>
          <w:color w:val="000000"/>
          <w:sz w:val="22"/>
          <w:lang w:eastAsia="en-GB"/>
        </w:rPr>
        <w:t>having decision-making capa</w:t>
      </w:r>
      <w:r w:rsidR="00B84DCF">
        <w:rPr>
          <w:rFonts w:ascii="Public Sans" w:hAnsi="Public Sans" w:cs="Arial"/>
          <w:color w:val="000000"/>
          <w:sz w:val="22"/>
          <w:lang w:eastAsia="en-GB"/>
        </w:rPr>
        <w:t>city in relation to their financial affairs</w:t>
      </w:r>
      <w:r>
        <w:rPr>
          <w:rFonts w:ascii="Public Sans" w:hAnsi="Public Sans" w:cs="Arial"/>
          <w:color w:val="000000"/>
          <w:sz w:val="22"/>
          <w:lang w:eastAsia="en-GB"/>
        </w:rPr>
        <w:t xml:space="preserve"> </w:t>
      </w:r>
    </w:p>
    <w:p w14:paraId="36B813E6" w14:textId="5C3CED05" w:rsidR="004F78E1" w:rsidRDefault="00B84DCF" w:rsidP="00B84DCF">
      <w:pPr>
        <w:pStyle w:val="ListParagraph0"/>
        <w:numPr>
          <w:ilvl w:val="0"/>
          <w:numId w:val="46"/>
        </w:numPr>
        <w:spacing w:before="0" w:after="0" w:line="240" w:lineRule="auto"/>
        <w:ind w:left="714" w:hanging="357"/>
        <w:rPr>
          <w:rFonts w:ascii="Public Sans" w:hAnsi="Public Sans" w:cs="Arial"/>
          <w:color w:val="000000"/>
          <w:sz w:val="22"/>
          <w:lang w:eastAsia="en-GB"/>
        </w:rPr>
      </w:pPr>
      <w:r>
        <w:rPr>
          <w:rFonts w:ascii="Public Sans" w:hAnsi="Public Sans" w:cs="Arial"/>
          <w:color w:val="000000"/>
          <w:sz w:val="22"/>
          <w:lang w:eastAsia="en-GB"/>
        </w:rPr>
        <w:t xml:space="preserve">the principal not being informed </w:t>
      </w:r>
      <w:r w:rsidR="004F78E1">
        <w:rPr>
          <w:rFonts w:ascii="Public Sans" w:hAnsi="Public Sans" w:cs="Arial"/>
          <w:color w:val="000000"/>
          <w:sz w:val="22"/>
          <w:lang w:eastAsia="en-GB"/>
        </w:rPr>
        <w:t xml:space="preserve">that the </w:t>
      </w:r>
      <w:r>
        <w:rPr>
          <w:rFonts w:ascii="Public Sans" w:hAnsi="Public Sans" w:cs="Arial"/>
          <w:color w:val="000000"/>
          <w:sz w:val="22"/>
          <w:lang w:eastAsia="en-GB"/>
        </w:rPr>
        <w:t xml:space="preserve">attorney has started acting on the </w:t>
      </w:r>
      <w:r w:rsidR="004F78E1">
        <w:rPr>
          <w:rFonts w:ascii="Public Sans" w:hAnsi="Public Sans" w:cs="Arial"/>
          <w:color w:val="000000"/>
          <w:sz w:val="22"/>
          <w:lang w:eastAsia="en-GB"/>
        </w:rPr>
        <w:t>EPOA</w:t>
      </w:r>
      <w:r>
        <w:rPr>
          <w:rFonts w:ascii="Public Sans" w:hAnsi="Public Sans" w:cs="Arial"/>
          <w:color w:val="000000"/>
          <w:sz w:val="22"/>
          <w:lang w:eastAsia="en-GB"/>
        </w:rPr>
        <w:t>.</w:t>
      </w:r>
    </w:p>
    <w:p w14:paraId="46794EEC" w14:textId="0A94C88C" w:rsidR="00B84DCF" w:rsidRDefault="00B84DCF" w:rsidP="00B84DCF">
      <w:pPr>
        <w:rPr>
          <w:rFonts w:ascii="Public Sans" w:hAnsi="Public Sans" w:cs="Arial"/>
          <w:color w:val="000000"/>
          <w:sz w:val="22"/>
          <w:lang w:eastAsia="en-GB"/>
        </w:rPr>
      </w:pPr>
    </w:p>
    <w:p w14:paraId="7D52F5D5" w14:textId="29255D64" w:rsidR="007230DF" w:rsidRDefault="007230DF" w:rsidP="00B84DCF">
      <w:pPr>
        <w:rPr>
          <w:rFonts w:ascii="Public Sans" w:hAnsi="Public Sans" w:cs="Arial"/>
          <w:color w:val="000000"/>
          <w:sz w:val="22"/>
          <w:lang w:eastAsia="en-GB"/>
        </w:rPr>
      </w:pPr>
      <w:r>
        <w:rPr>
          <w:rFonts w:ascii="Public Sans" w:hAnsi="Public Sans" w:cs="Arial"/>
          <w:color w:val="000000"/>
          <w:sz w:val="22"/>
          <w:lang w:eastAsia="en-GB"/>
        </w:rPr>
        <w:t>In the view of the ADC, there are a range of options for reducing the risks to principals associated with commencement of their EPOA, including consideration of:</w:t>
      </w:r>
    </w:p>
    <w:p w14:paraId="197C7CB4" w14:textId="01BCBB8F" w:rsidR="007230DF" w:rsidRDefault="006937C5" w:rsidP="00AD4CFF">
      <w:pPr>
        <w:pStyle w:val="ListParagraph0"/>
        <w:numPr>
          <w:ilvl w:val="0"/>
          <w:numId w:val="47"/>
        </w:numPr>
        <w:spacing w:after="0" w:line="240" w:lineRule="auto"/>
        <w:ind w:left="714" w:hanging="357"/>
        <w:rPr>
          <w:rFonts w:ascii="Public Sans" w:hAnsi="Public Sans" w:cs="Arial"/>
          <w:color w:val="000000"/>
          <w:sz w:val="22"/>
          <w:lang w:eastAsia="en-GB"/>
        </w:rPr>
      </w:pPr>
      <w:r>
        <w:rPr>
          <w:rFonts w:ascii="Public Sans" w:hAnsi="Public Sans" w:cs="Arial"/>
          <w:color w:val="000000"/>
          <w:sz w:val="22"/>
          <w:lang w:eastAsia="en-GB"/>
        </w:rPr>
        <w:t>removing th</w:t>
      </w:r>
      <w:r w:rsidR="004045CC">
        <w:rPr>
          <w:rFonts w:ascii="Public Sans" w:hAnsi="Public Sans" w:cs="Arial"/>
          <w:color w:val="000000"/>
          <w:sz w:val="22"/>
          <w:lang w:eastAsia="en-GB"/>
        </w:rPr>
        <w:t>e</w:t>
      </w:r>
      <w:r>
        <w:rPr>
          <w:rFonts w:ascii="Public Sans" w:hAnsi="Public Sans" w:cs="Arial"/>
          <w:color w:val="000000"/>
          <w:sz w:val="22"/>
          <w:lang w:eastAsia="en-GB"/>
        </w:rPr>
        <w:t xml:space="preserve"> option </w:t>
      </w:r>
      <w:r w:rsidR="004045CC">
        <w:rPr>
          <w:rFonts w:ascii="Public Sans" w:hAnsi="Public Sans" w:cs="Arial"/>
          <w:color w:val="000000"/>
          <w:sz w:val="22"/>
          <w:lang w:eastAsia="en-GB"/>
        </w:rPr>
        <w:t>for the attorney to solely form the view that the principal needs assistance managing their affairs</w:t>
      </w:r>
    </w:p>
    <w:p w14:paraId="42A4B8EE" w14:textId="07A51058" w:rsidR="004045CC" w:rsidRDefault="004045CC" w:rsidP="00AD4CFF">
      <w:pPr>
        <w:pStyle w:val="ListParagraph0"/>
        <w:numPr>
          <w:ilvl w:val="0"/>
          <w:numId w:val="47"/>
        </w:numPr>
        <w:spacing w:after="0" w:line="240" w:lineRule="auto"/>
        <w:ind w:left="714" w:hanging="357"/>
        <w:rPr>
          <w:rFonts w:ascii="Public Sans" w:hAnsi="Public Sans" w:cs="Arial"/>
          <w:color w:val="000000"/>
          <w:sz w:val="22"/>
          <w:lang w:eastAsia="en-GB"/>
        </w:rPr>
      </w:pPr>
      <w:r>
        <w:rPr>
          <w:rFonts w:ascii="Public Sans" w:hAnsi="Public Sans" w:cs="Arial"/>
          <w:color w:val="000000"/>
          <w:sz w:val="22"/>
          <w:lang w:eastAsia="en-GB"/>
        </w:rPr>
        <w:t>requiring that commencement of the EPOA on the basis that the principal needs assistance or is unable to manage their affairs is supported by a document from a medical practitioner</w:t>
      </w:r>
    </w:p>
    <w:p w14:paraId="6270BD09" w14:textId="10671F26" w:rsidR="004045CC" w:rsidRDefault="004045CC" w:rsidP="00AD4CFF">
      <w:pPr>
        <w:pStyle w:val="ListParagraph0"/>
        <w:numPr>
          <w:ilvl w:val="0"/>
          <w:numId w:val="47"/>
        </w:numPr>
        <w:spacing w:after="0" w:line="240" w:lineRule="auto"/>
        <w:ind w:left="714" w:hanging="357"/>
        <w:rPr>
          <w:rFonts w:ascii="Public Sans" w:hAnsi="Public Sans" w:cs="Arial"/>
          <w:color w:val="000000"/>
          <w:sz w:val="22"/>
          <w:lang w:eastAsia="en-GB"/>
        </w:rPr>
      </w:pPr>
      <w:r>
        <w:rPr>
          <w:rFonts w:ascii="Public Sans" w:hAnsi="Public Sans" w:cs="Arial"/>
          <w:color w:val="000000"/>
          <w:sz w:val="22"/>
          <w:lang w:eastAsia="en-GB"/>
        </w:rPr>
        <w:t>provi</w:t>
      </w:r>
      <w:r w:rsidR="00901D49">
        <w:rPr>
          <w:rFonts w:ascii="Public Sans" w:hAnsi="Public Sans" w:cs="Arial"/>
          <w:color w:val="000000"/>
          <w:sz w:val="22"/>
          <w:lang w:eastAsia="en-GB"/>
        </w:rPr>
        <w:t>ding</w:t>
      </w:r>
      <w:r>
        <w:rPr>
          <w:rFonts w:ascii="Public Sans" w:hAnsi="Public Sans" w:cs="Arial"/>
          <w:color w:val="000000"/>
          <w:sz w:val="22"/>
          <w:lang w:eastAsia="en-GB"/>
        </w:rPr>
        <w:t xml:space="preserve"> clear and accessible guidance </w:t>
      </w:r>
      <w:r w:rsidR="00901D49">
        <w:rPr>
          <w:rFonts w:ascii="Public Sans" w:hAnsi="Public Sans" w:cs="Arial"/>
          <w:color w:val="000000"/>
          <w:sz w:val="22"/>
          <w:lang w:eastAsia="en-GB"/>
        </w:rPr>
        <w:t>to</w:t>
      </w:r>
      <w:r>
        <w:rPr>
          <w:rFonts w:ascii="Public Sans" w:hAnsi="Public Sans" w:cs="Arial"/>
          <w:color w:val="000000"/>
          <w:sz w:val="22"/>
          <w:lang w:eastAsia="en-GB"/>
        </w:rPr>
        <w:t xml:space="preserve"> principals </w:t>
      </w:r>
      <w:r w:rsidR="00901D49">
        <w:rPr>
          <w:rFonts w:ascii="Public Sans" w:hAnsi="Public Sans" w:cs="Arial"/>
          <w:color w:val="000000"/>
          <w:sz w:val="22"/>
          <w:lang w:eastAsia="en-GB"/>
        </w:rPr>
        <w:t xml:space="preserve">about the risks associated with attorneys making the decision as to when the EPOA should commence, and </w:t>
      </w:r>
      <w:r w:rsidR="00E56EE9">
        <w:rPr>
          <w:rFonts w:ascii="Public Sans" w:hAnsi="Public Sans" w:cs="Arial"/>
          <w:color w:val="000000"/>
          <w:sz w:val="22"/>
          <w:lang w:eastAsia="en-GB"/>
        </w:rPr>
        <w:t>requiring that this is explained to them prior to executing the instrument</w:t>
      </w:r>
    </w:p>
    <w:p w14:paraId="5F22A7D4" w14:textId="31354974" w:rsidR="00E56EE9" w:rsidRPr="007230DF" w:rsidRDefault="00E56EE9" w:rsidP="00AD4CFF">
      <w:pPr>
        <w:pStyle w:val="ListParagraph0"/>
        <w:numPr>
          <w:ilvl w:val="0"/>
          <w:numId w:val="47"/>
        </w:numPr>
        <w:spacing w:after="0" w:line="240" w:lineRule="auto"/>
        <w:ind w:left="714" w:hanging="357"/>
        <w:rPr>
          <w:rFonts w:ascii="Public Sans" w:hAnsi="Public Sans" w:cs="Arial"/>
          <w:color w:val="000000"/>
          <w:sz w:val="22"/>
          <w:lang w:eastAsia="en-GB"/>
        </w:rPr>
      </w:pPr>
      <w:r>
        <w:rPr>
          <w:rFonts w:ascii="Public Sans" w:hAnsi="Public Sans" w:cs="Arial"/>
          <w:color w:val="000000"/>
          <w:sz w:val="22"/>
          <w:lang w:eastAsia="en-GB"/>
        </w:rPr>
        <w:t xml:space="preserve">providing clear guidance on conditions that should be included if the attorney is able to make the decision as to when the EPOA should commence – for example, conditions </w:t>
      </w:r>
      <w:r w:rsidR="00AD4CFF">
        <w:rPr>
          <w:rFonts w:ascii="Public Sans" w:hAnsi="Public Sans" w:cs="Arial"/>
          <w:color w:val="000000"/>
          <w:sz w:val="22"/>
          <w:lang w:eastAsia="en-GB"/>
        </w:rPr>
        <w:t>in relation to informing and involving the principal; specifying the threshold that would need to be met as evidence that the principal needed assistance managing their affairs; and/or requiring a medical practitioner to confirm that the principal needs assistance to manage their affairs.</w:t>
      </w:r>
    </w:p>
    <w:p w14:paraId="7C132DFD" w14:textId="77777777" w:rsidR="007230DF" w:rsidRDefault="007230DF" w:rsidP="00B84DCF">
      <w:pPr>
        <w:rPr>
          <w:rFonts w:ascii="Public Sans" w:hAnsi="Public Sans" w:cs="Arial"/>
          <w:color w:val="000000"/>
          <w:sz w:val="22"/>
          <w:lang w:eastAsia="en-GB"/>
        </w:rPr>
      </w:pPr>
    </w:p>
    <w:p w14:paraId="365D30A7" w14:textId="0B5E52BD" w:rsidR="00CE295A" w:rsidRPr="00481792" w:rsidRDefault="00481792" w:rsidP="00481792">
      <w:pPr>
        <w:pStyle w:val="Heading2"/>
        <w:spacing w:before="0" w:after="200"/>
        <w:rPr>
          <w:rFonts w:ascii="Public Sans" w:hAnsi="Public Sans"/>
          <w:color w:val="002060"/>
          <w:sz w:val="32"/>
          <w:szCs w:val="36"/>
        </w:rPr>
      </w:pPr>
      <w:r w:rsidRPr="00481792">
        <w:rPr>
          <w:rFonts w:ascii="Public Sans" w:hAnsi="Public Sans"/>
          <w:color w:val="002060"/>
          <w:sz w:val="32"/>
          <w:szCs w:val="36"/>
        </w:rPr>
        <w:t>Jurisdiction and compensation</w:t>
      </w:r>
    </w:p>
    <w:p w14:paraId="4BEDDA12" w14:textId="551563AF" w:rsidR="00624D64" w:rsidRPr="00624D64" w:rsidRDefault="00624D64" w:rsidP="00624D64">
      <w:pPr>
        <w:widowControl w:val="0"/>
        <w:rPr>
          <w:rFonts w:ascii="Public Sans" w:hAnsi="Public Sans"/>
          <w:sz w:val="22"/>
          <w:szCs w:val="24"/>
        </w:rPr>
      </w:pPr>
      <w:r w:rsidRPr="00624D64">
        <w:rPr>
          <w:rFonts w:ascii="Public Sans" w:hAnsi="Public Sans"/>
          <w:sz w:val="22"/>
          <w:szCs w:val="24"/>
        </w:rPr>
        <w:t xml:space="preserve">In many cases, by the time the ADC receives a report about alleged financial abuse by misuse of an EPOA, the adult’s money and assets are already gone or have been seriously depleted. </w:t>
      </w:r>
      <w:r w:rsidR="00181853">
        <w:rPr>
          <w:rFonts w:ascii="Public Sans" w:hAnsi="Public Sans"/>
          <w:sz w:val="22"/>
          <w:szCs w:val="24"/>
        </w:rPr>
        <w:t>We</w:t>
      </w:r>
      <w:r w:rsidRPr="00624D64">
        <w:rPr>
          <w:rFonts w:ascii="Public Sans" w:hAnsi="Public Sans"/>
          <w:sz w:val="22"/>
          <w:szCs w:val="24"/>
        </w:rPr>
        <w:t xml:space="preserve"> work with the adult and other parties to protect their remaining and future </w:t>
      </w:r>
      <w:r w:rsidR="00E128EB" w:rsidRPr="00624D64">
        <w:rPr>
          <w:rFonts w:ascii="Public Sans" w:hAnsi="Public Sans"/>
          <w:sz w:val="22"/>
          <w:szCs w:val="24"/>
        </w:rPr>
        <w:t>assets and</w:t>
      </w:r>
      <w:r w:rsidRPr="00624D64">
        <w:rPr>
          <w:rFonts w:ascii="Public Sans" w:hAnsi="Public Sans"/>
          <w:sz w:val="22"/>
          <w:szCs w:val="24"/>
        </w:rPr>
        <w:t xml:space="preserve"> refer relevant matters to NSW Police. </w:t>
      </w:r>
    </w:p>
    <w:p w14:paraId="7ED3C6FE" w14:textId="77777777" w:rsidR="00624D64" w:rsidRPr="00624D64" w:rsidRDefault="00624D64" w:rsidP="00624D64">
      <w:pPr>
        <w:widowControl w:val="0"/>
        <w:rPr>
          <w:rFonts w:ascii="Public Sans" w:hAnsi="Public Sans"/>
          <w:sz w:val="22"/>
          <w:szCs w:val="24"/>
        </w:rPr>
      </w:pPr>
    </w:p>
    <w:p w14:paraId="1D85F20A" w14:textId="77777777" w:rsidR="00624D64" w:rsidRPr="00624D64" w:rsidRDefault="00624D64" w:rsidP="00624D64">
      <w:pPr>
        <w:widowControl w:val="0"/>
        <w:rPr>
          <w:rFonts w:ascii="Public Sans" w:hAnsi="Public Sans"/>
          <w:sz w:val="22"/>
          <w:szCs w:val="24"/>
        </w:rPr>
      </w:pPr>
      <w:r w:rsidRPr="00624D64">
        <w:rPr>
          <w:rFonts w:ascii="Public Sans" w:hAnsi="Public Sans"/>
          <w:sz w:val="22"/>
          <w:szCs w:val="24"/>
        </w:rPr>
        <w:t xml:space="preserve">In a small number of cases, the subject of allegation has been charged, convicted, and ordered to repay the misappropriated funds. However, this pathway and outcome is rare and there are currently limited alternative options in NSW. While parties can pursue civil litigation, this is not always a good option for a range of reasons, including that the adults are usually reluctant or refuse to take action against a family member, and do not always have capacity to give instructions. </w:t>
      </w:r>
    </w:p>
    <w:p w14:paraId="36A33589" w14:textId="77777777" w:rsidR="00624D64" w:rsidRPr="00624D64" w:rsidRDefault="00624D64" w:rsidP="00624D64">
      <w:pPr>
        <w:widowControl w:val="0"/>
        <w:rPr>
          <w:rFonts w:ascii="Public Sans" w:hAnsi="Public Sans"/>
          <w:sz w:val="22"/>
          <w:szCs w:val="24"/>
        </w:rPr>
      </w:pPr>
    </w:p>
    <w:p w14:paraId="2E49A2AF" w14:textId="32F7331A" w:rsidR="00624D64" w:rsidRPr="00624D64" w:rsidRDefault="00624D64" w:rsidP="00624D64">
      <w:pPr>
        <w:widowControl w:val="0"/>
        <w:rPr>
          <w:rFonts w:ascii="Public Sans" w:hAnsi="Public Sans"/>
          <w:sz w:val="22"/>
          <w:szCs w:val="24"/>
        </w:rPr>
      </w:pPr>
      <w:r w:rsidRPr="00624D64">
        <w:rPr>
          <w:rFonts w:ascii="Public Sans" w:hAnsi="Public Sans"/>
          <w:sz w:val="22"/>
          <w:szCs w:val="24"/>
        </w:rPr>
        <w:t xml:space="preserve">In many matters handled by the ADC, the impact on the adult has been significant. </w:t>
      </w:r>
      <w:r w:rsidR="00E40854">
        <w:rPr>
          <w:rFonts w:ascii="Public Sans" w:hAnsi="Public Sans"/>
          <w:sz w:val="22"/>
          <w:szCs w:val="24"/>
        </w:rPr>
        <w:t xml:space="preserve">The </w:t>
      </w:r>
      <w:r w:rsidR="00E40854" w:rsidRPr="00E40854">
        <w:rPr>
          <w:rFonts w:ascii="Public Sans" w:hAnsi="Public Sans"/>
          <w:sz w:val="22"/>
          <w:szCs w:val="24"/>
        </w:rPr>
        <w:t>c</w:t>
      </w:r>
      <w:r w:rsidRPr="00E40854">
        <w:rPr>
          <w:rFonts w:ascii="Public Sans" w:hAnsi="Public Sans"/>
          <w:sz w:val="22"/>
          <w:szCs w:val="24"/>
        </w:rPr>
        <w:t>ase studies</w:t>
      </w:r>
      <w:r w:rsidR="00E40854" w:rsidRPr="00E40854">
        <w:rPr>
          <w:rFonts w:ascii="Public Sans" w:hAnsi="Public Sans"/>
          <w:sz w:val="22"/>
          <w:szCs w:val="24"/>
        </w:rPr>
        <w:t xml:space="preserve"> below</w:t>
      </w:r>
      <w:r w:rsidRPr="00E40854">
        <w:rPr>
          <w:rFonts w:ascii="Public Sans" w:hAnsi="Public Sans"/>
          <w:sz w:val="22"/>
          <w:szCs w:val="24"/>
        </w:rPr>
        <w:t xml:space="preserve"> provide</w:t>
      </w:r>
      <w:r w:rsidRPr="00624D64">
        <w:rPr>
          <w:rFonts w:ascii="Public Sans" w:hAnsi="Public Sans"/>
          <w:sz w:val="22"/>
          <w:szCs w:val="24"/>
        </w:rPr>
        <w:t xml:space="preserve"> examples of the sizable funds being misappropriated by appointed EPOAs. However, even in cases with smaller sums, the adult has tended to be left in a dire financial situation, with associated risks of homelessness, inadequate support and/or debts. </w:t>
      </w:r>
    </w:p>
    <w:p w14:paraId="5FA0B7F6" w14:textId="77777777" w:rsidR="00624D64" w:rsidRDefault="00A84644" w:rsidP="00A84644">
      <w:pPr>
        <w:rPr>
          <w:rFonts w:ascii="Public Sans" w:hAnsi="Public Sans"/>
          <w:sz w:val="22"/>
          <w:szCs w:val="24"/>
        </w:rPr>
      </w:pPr>
      <w:r w:rsidRPr="00A84644">
        <w:rPr>
          <w:rFonts w:ascii="Public Sans" w:hAnsi="Public Sans"/>
          <w:sz w:val="22"/>
          <w:szCs w:val="24"/>
        </w:rPr>
        <w:t xml:space="preserve"> </w:t>
      </w:r>
    </w:p>
    <w:tbl>
      <w:tblPr>
        <w:tblStyle w:val="TableGrid"/>
        <w:tblW w:w="0" w:type="auto"/>
        <w:tblLook w:val="04A0" w:firstRow="1" w:lastRow="0" w:firstColumn="1" w:lastColumn="0" w:noHBand="0" w:noVBand="1"/>
      </w:tblPr>
      <w:tblGrid>
        <w:gridCol w:w="9288"/>
      </w:tblGrid>
      <w:tr w:rsidR="00624D64" w14:paraId="6CF738D3" w14:textId="77777777" w:rsidTr="00624D64">
        <w:tc>
          <w:tcPr>
            <w:tcW w:w="9288" w:type="dxa"/>
          </w:tcPr>
          <w:p w14:paraId="5818290F" w14:textId="77777777" w:rsidR="00624D64" w:rsidRPr="00624D64" w:rsidRDefault="00624D64" w:rsidP="00624D64">
            <w:pPr>
              <w:widowControl w:val="0"/>
              <w:rPr>
                <w:rFonts w:ascii="Public Sans" w:hAnsi="Public Sans"/>
                <w:b/>
                <w:sz w:val="21"/>
                <w:szCs w:val="21"/>
              </w:rPr>
            </w:pPr>
            <w:r w:rsidRPr="00624D64">
              <w:rPr>
                <w:rFonts w:ascii="Public Sans" w:hAnsi="Public Sans"/>
                <w:b/>
                <w:sz w:val="21"/>
                <w:szCs w:val="21"/>
              </w:rPr>
              <w:t>Case study 1</w:t>
            </w:r>
          </w:p>
          <w:p w14:paraId="31EC13B8" w14:textId="6730E412" w:rsidR="00624D64" w:rsidRPr="00624D64" w:rsidRDefault="00624D64" w:rsidP="00624D64">
            <w:pPr>
              <w:widowControl w:val="0"/>
              <w:autoSpaceDE w:val="0"/>
              <w:autoSpaceDN w:val="0"/>
              <w:spacing w:before="120"/>
              <w:rPr>
                <w:rFonts w:ascii="Public Sans" w:hAnsi="Public Sans"/>
                <w:sz w:val="21"/>
                <w:szCs w:val="21"/>
              </w:rPr>
            </w:pPr>
            <w:r w:rsidRPr="00624D64">
              <w:rPr>
                <w:rFonts w:ascii="Public Sans" w:hAnsi="Public Sans"/>
                <w:sz w:val="21"/>
                <w:szCs w:val="21"/>
              </w:rPr>
              <w:t>The ADC received a report about financial abuse of an older person by their son. The older person had appointed her son as her EPOA, and he had started to act in this role after her decision-making capacity became impaired. We were advised that, in the previous two years, there had been 136 betting transactions on the older person’s bank account, totalling over $117,000</w:t>
            </w:r>
            <w:r w:rsidR="00EB0E39">
              <w:rPr>
                <w:rFonts w:ascii="Public Sans" w:hAnsi="Public Sans"/>
                <w:sz w:val="21"/>
                <w:szCs w:val="21"/>
              </w:rPr>
              <w:t>,</w:t>
            </w:r>
            <w:r w:rsidRPr="00624D64">
              <w:rPr>
                <w:rFonts w:ascii="Public Sans" w:hAnsi="Public Sans"/>
                <w:sz w:val="21"/>
                <w:szCs w:val="21"/>
              </w:rPr>
              <w:t xml:space="preserve"> and 70 ATM withdrawals, totalling over $55,000. At least $55,000 in betting wins had been credited to the woman’s account, in the name of her son. </w:t>
            </w:r>
          </w:p>
          <w:p w14:paraId="48BD4991" w14:textId="77777777" w:rsidR="00624D64" w:rsidRPr="00624D64" w:rsidRDefault="00624D64" w:rsidP="00624D64">
            <w:pPr>
              <w:widowControl w:val="0"/>
              <w:autoSpaceDE w:val="0"/>
              <w:autoSpaceDN w:val="0"/>
              <w:ind w:left="426"/>
              <w:rPr>
                <w:rFonts w:ascii="Public Sans" w:hAnsi="Public Sans"/>
                <w:sz w:val="21"/>
                <w:szCs w:val="21"/>
              </w:rPr>
            </w:pPr>
          </w:p>
          <w:p w14:paraId="20BC23B5" w14:textId="77777777" w:rsidR="00624D64" w:rsidRPr="00624D64" w:rsidRDefault="00624D64" w:rsidP="00624D64">
            <w:pPr>
              <w:widowControl w:val="0"/>
              <w:autoSpaceDE w:val="0"/>
              <w:autoSpaceDN w:val="0"/>
              <w:rPr>
                <w:rFonts w:ascii="Public Sans" w:hAnsi="Public Sans"/>
                <w:sz w:val="21"/>
                <w:szCs w:val="21"/>
              </w:rPr>
            </w:pPr>
            <w:r w:rsidRPr="00624D64">
              <w:rPr>
                <w:rFonts w:ascii="Public Sans" w:hAnsi="Public Sans"/>
                <w:sz w:val="21"/>
                <w:szCs w:val="21"/>
              </w:rPr>
              <w:t xml:space="preserve">The ADC made a report to NSW Police. Police made inquiries and advised that there was insufficient evidence to proceed with a fraud offence. We subsequently commenced an investigation into the alleged financial abuse and misuse of the older person’s EPOA. The bank froze the older person’s account and stopped the bank card so the son could not continue to access the account. </w:t>
            </w:r>
          </w:p>
          <w:p w14:paraId="6CB29D09" w14:textId="77777777" w:rsidR="00624D64" w:rsidRPr="00624D64" w:rsidRDefault="00624D64" w:rsidP="00624D64">
            <w:pPr>
              <w:widowControl w:val="0"/>
              <w:rPr>
                <w:rFonts w:ascii="Public Sans" w:hAnsi="Public Sans"/>
                <w:sz w:val="21"/>
                <w:szCs w:val="21"/>
              </w:rPr>
            </w:pPr>
          </w:p>
          <w:p w14:paraId="1B3F4AA6" w14:textId="00A28AF2" w:rsidR="00624D64" w:rsidRPr="00624D64" w:rsidRDefault="00624D64" w:rsidP="00624D64">
            <w:pPr>
              <w:widowControl w:val="0"/>
              <w:autoSpaceDE w:val="0"/>
              <w:autoSpaceDN w:val="0"/>
              <w:rPr>
                <w:rFonts w:ascii="Public Sans" w:hAnsi="Public Sans"/>
                <w:sz w:val="21"/>
                <w:szCs w:val="21"/>
              </w:rPr>
            </w:pPr>
            <w:r w:rsidRPr="00624D64">
              <w:rPr>
                <w:rFonts w:ascii="Public Sans" w:hAnsi="Public Sans"/>
                <w:sz w:val="21"/>
                <w:szCs w:val="21"/>
              </w:rPr>
              <w:t xml:space="preserve">When we met with the older person’s son, he acknowledged that he had used his mother’s funds to gamble, and told us that his mother didn’t need much, and she would be leaving her money to him in the end anyway. He advised that he was providing care to his mother and, even though he was the sole beneficiary of her Will, he would share whatever money was left with his sister. In relation to the conditions of the EPOA and requirements on attorneys, the son said that he thought he read those at the time of appointment but did not remember what they were. </w:t>
            </w:r>
          </w:p>
          <w:p w14:paraId="661F76D4" w14:textId="77777777" w:rsidR="00624D64" w:rsidRPr="00624D64" w:rsidRDefault="00624D64" w:rsidP="00624D64">
            <w:pPr>
              <w:widowControl w:val="0"/>
              <w:autoSpaceDE w:val="0"/>
              <w:autoSpaceDN w:val="0"/>
              <w:rPr>
                <w:rFonts w:ascii="Public Sans" w:hAnsi="Public Sans"/>
                <w:sz w:val="21"/>
                <w:szCs w:val="21"/>
              </w:rPr>
            </w:pPr>
          </w:p>
          <w:p w14:paraId="601E8984" w14:textId="77777777" w:rsidR="00624D64" w:rsidRPr="00624D64" w:rsidRDefault="00624D64" w:rsidP="00624D64">
            <w:pPr>
              <w:widowControl w:val="0"/>
              <w:autoSpaceDE w:val="0"/>
              <w:autoSpaceDN w:val="0"/>
              <w:rPr>
                <w:rFonts w:ascii="Public Sans" w:hAnsi="Public Sans"/>
                <w:sz w:val="21"/>
                <w:szCs w:val="21"/>
              </w:rPr>
            </w:pPr>
            <w:r w:rsidRPr="00624D64">
              <w:rPr>
                <w:rFonts w:ascii="Public Sans" w:hAnsi="Public Sans"/>
                <w:sz w:val="21"/>
                <w:szCs w:val="21"/>
              </w:rPr>
              <w:t xml:space="preserve">Our investigation confirmed the information that had been provided about the transactions on the older person’s account and misuse of her finances by her son to fund his gambling activities. </w:t>
            </w:r>
          </w:p>
          <w:p w14:paraId="0E8E7961" w14:textId="77777777" w:rsidR="00624D64" w:rsidRPr="00624D64" w:rsidRDefault="00624D64" w:rsidP="00624D64">
            <w:pPr>
              <w:widowControl w:val="0"/>
              <w:rPr>
                <w:rFonts w:ascii="Public Sans" w:hAnsi="Public Sans"/>
                <w:sz w:val="21"/>
                <w:szCs w:val="21"/>
              </w:rPr>
            </w:pPr>
          </w:p>
          <w:p w14:paraId="6AB25A46" w14:textId="6232B625" w:rsidR="00624D64" w:rsidRPr="00624D64" w:rsidRDefault="00624D64" w:rsidP="00A84644">
            <w:pPr>
              <w:rPr>
                <w:rFonts w:ascii="Public Sans" w:hAnsi="Public Sans"/>
                <w:sz w:val="21"/>
                <w:szCs w:val="21"/>
              </w:rPr>
            </w:pPr>
            <w:r w:rsidRPr="00624D64">
              <w:rPr>
                <w:rFonts w:ascii="Public Sans" w:hAnsi="Public Sans"/>
                <w:sz w:val="21"/>
                <w:szCs w:val="21"/>
              </w:rPr>
              <w:t>We submitted an application to NCAT, and the Tribunal appointed a financial manager (NSW Trustee and Guardian), which suspended the operation of the EPOA. Our concerns about the son’s exercise of his duties as the older person’s EPOA were shared by the Tribunal, which noted the son’s ‘abject failure to fulfil his fiduciary duty as attorney’.</w:t>
            </w:r>
          </w:p>
          <w:p w14:paraId="262823EE" w14:textId="2CF91549" w:rsidR="00624D64" w:rsidRDefault="00624D64" w:rsidP="00A84644">
            <w:pPr>
              <w:rPr>
                <w:rFonts w:ascii="Public Sans" w:hAnsi="Public Sans"/>
                <w:sz w:val="22"/>
                <w:szCs w:val="24"/>
              </w:rPr>
            </w:pPr>
          </w:p>
        </w:tc>
      </w:tr>
    </w:tbl>
    <w:p w14:paraId="5D1B321D" w14:textId="6107FAC8" w:rsidR="00A84644" w:rsidRDefault="00A84644" w:rsidP="00A84644">
      <w:pPr>
        <w:rPr>
          <w:rFonts w:ascii="Public Sans" w:hAnsi="Public Sans"/>
          <w:sz w:val="22"/>
          <w:szCs w:val="24"/>
        </w:rPr>
      </w:pPr>
    </w:p>
    <w:p w14:paraId="0A2CBBCD" w14:textId="77777777" w:rsidR="007925A8" w:rsidRDefault="007925A8" w:rsidP="00A84644">
      <w:pPr>
        <w:rPr>
          <w:rFonts w:ascii="Public Sans" w:hAnsi="Public Sans"/>
          <w:sz w:val="22"/>
          <w:szCs w:val="24"/>
        </w:rPr>
      </w:pPr>
    </w:p>
    <w:tbl>
      <w:tblPr>
        <w:tblStyle w:val="TableGrid"/>
        <w:tblW w:w="0" w:type="auto"/>
        <w:tblLook w:val="04A0" w:firstRow="1" w:lastRow="0" w:firstColumn="1" w:lastColumn="0" w:noHBand="0" w:noVBand="1"/>
      </w:tblPr>
      <w:tblGrid>
        <w:gridCol w:w="9288"/>
      </w:tblGrid>
      <w:tr w:rsidR="007925A8" w14:paraId="2FD4CB3B" w14:textId="77777777" w:rsidTr="007925A8">
        <w:tc>
          <w:tcPr>
            <w:tcW w:w="9288" w:type="dxa"/>
          </w:tcPr>
          <w:p w14:paraId="1E1318F4" w14:textId="77777777" w:rsidR="007925A8" w:rsidRPr="007925A8" w:rsidRDefault="007925A8" w:rsidP="007925A8">
            <w:pPr>
              <w:widowControl w:val="0"/>
              <w:rPr>
                <w:rFonts w:ascii="Public Sans" w:hAnsi="Public Sans"/>
                <w:b/>
                <w:sz w:val="21"/>
                <w:szCs w:val="21"/>
              </w:rPr>
            </w:pPr>
            <w:r w:rsidRPr="007925A8">
              <w:rPr>
                <w:rFonts w:ascii="Public Sans" w:hAnsi="Public Sans"/>
                <w:b/>
                <w:sz w:val="21"/>
                <w:szCs w:val="21"/>
              </w:rPr>
              <w:t>Case study 2</w:t>
            </w:r>
          </w:p>
          <w:p w14:paraId="5DB0F84B" w14:textId="77777777" w:rsidR="007925A8" w:rsidRPr="007925A8" w:rsidRDefault="007925A8" w:rsidP="007925A8">
            <w:pPr>
              <w:widowControl w:val="0"/>
              <w:spacing w:before="120"/>
              <w:rPr>
                <w:rFonts w:ascii="Public Sans" w:hAnsi="Public Sans"/>
                <w:sz w:val="21"/>
                <w:szCs w:val="21"/>
              </w:rPr>
            </w:pPr>
            <w:r w:rsidRPr="007925A8">
              <w:rPr>
                <w:rFonts w:ascii="Public Sans" w:hAnsi="Public Sans"/>
                <w:sz w:val="21"/>
                <w:szCs w:val="21"/>
              </w:rPr>
              <w:t xml:space="preserve">The ADC received a report of financial abuse and neglect of an older couple by their daughter, who was their primary carer and their appointed Enduring Guardian and Enduring Power of Attorney. </w:t>
            </w:r>
          </w:p>
          <w:p w14:paraId="6932432A" w14:textId="77777777" w:rsidR="007925A8" w:rsidRPr="007925A8" w:rsidRDefault="007925A8" w:rsidP="007925A8">
            <w:pPr>
              <w:widowControl w:val="0"/>
              <w:rPr>
                <w:rFonts w:ascii="Public Sans" w:hAnsi="Public Sans"/>
                <w:sz w:val="21"/>
                <w:szCs w:val="21"/>
              </w:rPr>
            </w:pPr>
          </w:p>
          <w:p w14:paraId="48478E01" w14:textId="77777777" w:rsidR="007925A8" w:rsidRPr="007925A8" w:rsidRDefault="007925A8" w:rsidP="007925A8">
            <w:pPr>
              <w:widowControl w:val="0"/>
              <w:rPr>
                <w:rFonts w:ascii="Public Sans" w:hAnsi="Public Sans"/>
                <w:sz w:val="21"/>
                <w:szCs w:val="21"/>
              </w:rPr>
            </w:pPr>
            <w:r w:rsidRPr="007925A8">
              <w:rPr>
                <w:rFonts w:ascii="Public Sans" w:hAnsi="Public Sans"/>
                <w:sz w:val="21"/>
                <w:szCs w:val="21"/>
              </w:rPr>
              <w:t xml:space="preserve">In addition to significant concerns about neglect of the older couple by the daughter, the report to the ADC included that they did not have access to their own finances, and their money did not appear to be spent on their care. </w:t>
            </w:r>
          </w:p>
          <w:p w14:paraId="7C1F9DD7" w14:textId="77777777" w:rsidR="007925A8" w:rsidRPr="007925A8" w:rsidRDefault="007925A8" w:rsidP="007925A8">
            <w:pPr>
              <w:widowControl w:val="0"/>
              <w:rPr>
                <w:rFonts w:ascii="Public Sans" w:hAnsi="Public Sans"/>
                <w:sz w:val="21"/>
                <w:szCs w:val="21"/>
              </w:rPr>
            </w:pPr>
          </w:p>
          <w:p w14:paraId="63F74D5F" w14:textId="77777777" w:rsidR="007925A8" w:rsidRPr="007925A8" w:rsidRDefault="007925A8" w:rsidP="007925A8">
            <w:pPr>
              <w:widowControl w:val="0"/>
              <w:rPr>
                <w:rFonts w:ascii="Public Sans" w:hAnsi="Public Sans"/>
                <w:sz w:val="21"/>
                <w:szCs w:val="21"/>
              </w:rPr>
            </w:pPr>
            <w:r w:rsidRPr="007925A8">
              <w:rPr>
                <w:rFonts w:ascii="Public Sans" w:hAnsi="Public Sans"/>
                <w:sz w:val="21"/>
                <w:szCs w:val="21"/>
              </w:rPr>
              <w:t xml:space="preserve">At the time of the report to the ADC, concerns had also been raised with police and the couple had been transferred to hospital after their daughter had gone interstate for three days and left them alone without food and any means of communication, despite them needing full-time care. </w:t>
            </w:r>
          </w:p>
          <w:p w14:paraId="2160108D" w14:textId="77777777" w:rsidR="007925A8" w:rsidRPr="007925A8" w:rsidRDefault="007925A8" w:rsidP="007925A8">
            <w:pPr>
              <w:widowControl w:val="0"/>
              <w:rPr>
                <w:rFonts w:ascii="Public Sans" w:hAnsi="Public Sans"/>
                <w:sz w:val="21"/>
                <w:szCs w:val="21"/>
              </w:rPr>
            </w:pPr>
          </w:p>
          <w:p w14:paraId="7D67BF4B" w14:textId="0F7A0D75" w:rsidR="007925A8" w:rsidRPr="007925A8" w:rsidRDefault="007925A8" w:rsidP="007925A8">
            <w:pPr>
              <w:widowControl w:val="0"/>
              <w:rPr>
                <w:rFonts w:ascii="Public Sans" w:hAnsi="Public Sans"/>
                <w:sz w:val="21"/>
                <w:szCs w:val="21"/>
              </w:rPr>
            </w:pPr>
            <w:r w:rsidRPr="007925A8">
              <w:rPr>
                <w:rFonts w:ascii="Public Sans" w:hAnsi="Public Sans"/>
                <w:sz w:val="21"/>
                <w:szCs w:val="21"/>
              </w:rPr>
              <w:t xml:space="preserve">The </w:t>
            </w:r>
            <w:r w:rsidR="00F129BB">
              <w:rPr>
                <w:rFonts w:ascii="Public Sans" w:hAnsi="Public Sans"/>
                <w:sz w:val="21"/>
                <w:szCs w:val="21"/>
              </w:rPr>
              <w:t xml:space="preserve">police </w:t>
            </w:r>
            <w:r w:rsidRPr="007925A8">
              <w:rPr>
                <w:rFonts w:ascii="Public Sans" w:hAnsi="Public Sans"/>
                <w:sz w:val="21"/>
                <w:szCs w:val="21"/>
              </w:rPr>
              <w:t xml:space="preserve">Aged Crime Prevention Officer (ACPO) worked with frontline police on this matter, met with the older couple, and arranged for the bank to freeze their accounts. </w:t>
            </w:r>
          </w:p>
          <w:p w14:paraId="1022AACB" w14:textId="77777777" w:rsidR="007925A8" w:rsidRPr="007925A8" w:rsidRDefault="007925A8" w:rsidP="007925A8">
            <w:pPr>
              <w:widowControl w:val="0"/>
              <w:rPr>
                <w:rFonts w:ascii="Public Sans" w:hAnsi="Public Sans"/>
                <w:sz w:val="21"/>
                <w:szCs w:val="21"/>
              </w:rPr>
            </w:pPr>
          </w:p>
          <w:p w14:paraId="1CFEDBAE" w14:textId="77777777" w:rsidR="007925A8" w:rsidRPr="007925A8" w:rsidRDefault="007925A8" w:rsidP="007925A8">
            <w:pPr>
              <w:widowControl w:val="0"/>
              <w:rPr>
                <w:rFonts w:ascii="Public Sans" w:hAnsi="Public Sans"/>
                <w:sz w:val="21"/>
                <w:szCs w:val="21"/>
              </w:rPr>
            </w:pPr>
            <w:r w:rsidRPr="007925A8">
              <w:rPr>
                <w:rFonts w:ascii="Public Sans" w:hAnsi="Public Sans"/>
                <w:sz w:val="21"/>
                <w:szCs w:val="21"/>
              </w:rPr>
              <w:t xml:space="preserve">Examination of the couple’s financial records identified that large sums of money from their </w:t>
            </w:r>
            <w:r w:rsidRPr="007925A8">
              <w:rPr>
                <w:rFonts w:ascii="Public Sans" w:hAnsi="Public Sans"/>
                <w:sz w:val="21"/>
                <w:szCs w:val="21"/>
              </w:rPr>
              <w:lastRenderedPageBreak/>
              <w:t xml:space="preserve">account (including from the sale of their home) had been transferred to the daughter’s account, and their pensions were going directly to the daughter’s account. The ADC made applications to NCAT, and NSW Trustee and Guardian and the Public Guardian were subsequently appointed to manage the couple’s finances and make certain decisions on their behalf. </w:t>
            </w:r>
          </w:p>
          <w:p w14:paraId="783E62F2" w14:textId="77777777" w:rsidR="007925A8" w:rsidRPr="007925A8" w:rsidRDefault="007925A8" w:rsidP="007925A8">
            <w:pPr>
              <w:widowControl w:val="0"/>
              <w:rPr>
                <w:rFonts w:ascii="Public Sans" w:hAnsi="Public Sans"/>
                <w:sz w:val="21"/>
                <w:szCs w:val="21"/>
              </w:rPr>
            </w:pPr>
          </w:p>
          <w:p w14:paraId="626DBFCE" w14:textId="5862FF3E" w:rsidR="007925A8" w:rsidRDefault="007925A8" w:rsidP="00A84644">
            <w:pPr>
              <w:rPr>
                <w:rFonts w:ascii="Public Sans" w:hAnsi="Public Sans"/>
                <w:sz w:val="22"/>
                <w:szCs w:val="24"/>
              </w:rPr>
            </w:pPr>
            <w:r w:rsidRPr="007925A8">
              <w:rPr>
                <w:rFonts w:ascii="Public Sans" w:hAnsi="Public Sans"/>
                <w:sz w:val="21"/>
                <w:szCs w:val="21"/>
              </w:rPr>
              <w:t>The daughter was arrested and charged with three counts of fraud, relating to over $900,000 belonging to the couple. NSWTG is pursuing legal action against the daughter to recover the funds taken through misuse of the older couple’s EPOA.</w:t>
            </w:r>
          </w:p>
          <w:p w14:paraId="001B3BE1" w14:textId="6DAEB54A" w:rsidR="007925A8" w:rsidRDefault="007925A8" w:rsidP="00A84644">
            <w:pPr>
              <w:rPr>
                <w:rFonts w:ascii="Public Sans" w:hAnsi="Public Sans"/>
                <w:sz w:val="22"/>
                <w:szCs w:val="24"/>
              </w:rPr>
            </w:pPr>
          </w:p>
        </w:tc>
      </w:tr>
    </w:tbl>
    <w:p w14:paraId="06E5FCF6" w14:textId="77777777" w:rsidR="007925A8" w:rsidRDefault="007925A8" w:rsidP="00A84644">
      <w:pPr>
        <w:rPr>
          <w:rFonts w:ascii="Public Sans" w:hAnsi="Public Sans"/>
          <w:sz w:val="22"/>
          <w:szCs w:val="24"/>
        </w:rPr>
      </w:pPr>
    </w:p>
    <w:p w14:paraId="6E4DA754" w14:textId="09837592" w:rsidR="00624D64" w:rsidRPr="00A45490" w:rsidRDefault="007925A8" w:rsidP="00624D64">
      <w:pPr>
        <w:widowControl w:val="0"/>
        <w:rPr>
          <w:rFonts w:ascii="Public Sans" w:hAnsi="Public Sans"/>
          <w:sz w:val="22"/>
          <w:szCs w:val="24"/>
        </w:rPr>
      </w:pPr>
      <w:r w:rsidRPr="00902D23">
        <w:rPr>
          <w:rFonts w:ascii="Public Sans" w:hAnsi="Public Sans"/>
        </w:rPr>
        <w:t xml:space="preserve"> </w:t>
      </w:r>
      <w:r w:rsidR="00624D64" w:rsidRPr="00A45490">
        <w:rPr>
          <w:rFonts w:ascii="Public Sans" w:hAnsi="Public Sans"/>
          <w:sz w:val="22"/>
          <w:szCs w:val="28"/>
        </w:rPr>
        <w:t xml:space="preserve">In NSW, there is currently no mechanism to </w:t>
      </w:r>
      <w:r w:rsidR="00624D64" w:rsidRPr="00A45490">
        <w:rPr>
          <w:rFonts w:ascii="Public Sans" w:hAnsi="Public Sans"/>
          <w:sz w:val="22"/>
          <w:szCs w:val="24"/>
        </w:rPr>
        <w:t xml:space="preserve">order compensation for the loss of funds incurred through misuse of an EPOA in the Act. NCAT does not have the ability to order compensation of the principal </w:t>
      </w:r>
      <w:r w:rsidR="007A0396">
        <w:rPr>
          <w:rFonts w:ascii="Public Sans" w:hAnsi="Public Sans"/>
          <w:sz w:val="22"/>
          <w:szCs w:val="24"/>
        </w:rPr>
        <w:t>for</w:t>
      </w:r>
      <w:r w:rsidR="00624D64" w:rsidRPr="00A45490">
        <w:rPr>
          <w:rFonts w:ascii="Public Sans" w:hAnsi="Public Sans"/>
          <w:sz w:val="22"/>
          <w:szCs w:val="24"/>
        </w:rPr>
        <w:t xml:space="preserve"> loss caused by the attorney. </w:t>
      </w:r>
    </w:p>
    <w:p w14:paraId="341938E1" w14:textId="77777777" w:rsidR="00624D64" w:rsidRPr="00A45490" w:rsidRDefault="00624D64" w:rsidP="00624D64">
      <w:pPr>
        <w:widowControl w:val="0"/>
        <w:rPr>
          <w:rFonts w:ascii="Public Sans" w:hAnsi="Public Sans"/>
          <w:sz w:val="22"/>
          <w:szCs w:val="24"/>
        </w:rPr>
      </w:pPr>
    </w:p>
    <w:p w14:paraId="46A7D0DA" w14:textId="57DFA11E" w:rsidR="00624D64" w:rsidRPr="00A45490" w:rsidRDefault="00624D64" w:rsidP="00624D64">
      <w:pPr>
        <w:widowControl w:val="0"/>
        <w:rPr>
          <w:rFonts w:ascii="Public Sans" w:hAnsi="Public Sans"/>
          <w:sz w:val="22"/>
          <w:szCs w:val="24"/>
        </w:rPr>
      </w:pPr>
      <w:r w:rsidRPr="00A45490">
        <w:rPr>
          <w:rFonts w:ascii="Public Sans" w:hAnsi="Public Sans"/>
          <w:sz w:val="22"/>
          <w:szCs w:val="24"/>
        </w:rPr>
        <w:t>In NSW, existing mechanisms for potential compensation involve:</w:t>
      </w:r>
    </w:p>
    <w:p w14:paraId="3C667BBD" w14:textId="77777777" w:rsidR="00A45490" w:rsidRPr="00A45490" w:rsidRDefault="00A45490" w:rsidP="00D132D1">
      <w:pPr>
        <w:pStyle w:val="ListParagraph0"/>
        <w:numPr>
          <w:ilvl w:val="0"/>
          <w:numId w:val="49"/>
        </w:numPr>
        <w:spacing w:before="60" w:after="0" w:line="240" w:lineRule="auto"/>
        <w:rPr>
          <w:rFonts w:ascii="Public Sans" w:hAnsi="Public Sans"/>
          <w:sz w:val="22"/>
          <w:szCs w:val="22"/>
          <w:lang w:eastAsia="en-GB"/>
        </w:rPr>
      </w:pPr>
      <w:r w:rsidRPr="00A45490">
        <w:rPr>
          <w:rFonts w:ascii="Public Sans" w:hAnsi="Public Sans" w:cs="Arial"/>
          <w:color w:val="000000"/>
          <w:sz w:val="22"/>
          <w:szCs w:val="22"/>
          <w:lang w:eastAsia="en-GB"/>
        </w:rPr>
        <w:t>a civil claim in the District Court or Supreme Court</w:t>
      </w:r>
    </w:p>
    <w:p w14:paraId="49C4B628" w14:textId="12339715" w:rsidR="00624D64" w:rsidRPr="00A45490" w:rsidRDefault="00624D64" w:rsidP="00D132D1">
      <w:pPr>
        <w:pStyle w:val="ListParagraph0"/>
        <w:widowControl w:val="0"/>
        <w:numPr>
          <w:ilvl w:val="0"/>
          <w:numId w:val="49"/>
        </w:numPr>
        <w:spacing w:before="60" w:after="0" w:line="240" w:lineRule="auto"/>
        <w:ind w:left="714" w:hanging="357"/>
        <w:rPr>
          <w:rFonts w:ascii="Public Sans" w:hAnsi="Public Sans"/>
          <w:sz w:val="22"/>
          <w:szCs w:val="22"/>
        </w:rPr>
      </w:pPr>
      <w:r w:rsidRPr="00A45490">
        <w:rPr>
          <w:rFonts w:ascii="Public Sans" w:hAnsi="Public Sans"/>
          <w:sz w:val="22"/>
          <w:szCs w:val="22"/>
        </w:rPr>
        <w:t>criminal prosecution and conviction of the attorney where there is sufficient evidence of the commission of a criminal offence</w:t>
      </w:r>
      <w:r w:rsidR="00A45490" w:rsidRPr="00A45490">
        <w:rPr>
          <w:rFonts w:ascii="Public Sans" w:hAnsi="Public Sans"/>
          <w:sz w:val="22"/>
          <w:szCs w:val="22"/>
        </w:rPr>
        <w:t xml:space="preserve">, such as </w:t>
      </w:r>
      <w:r w:rsidRPr="00A45490">
        <w:rPr>
          <w:rFonts w:ascii="Public Sans" w:hAnsi="Public Sans"/>
          <w:sz w:val="22"/>
          <w:szCs w:val="22"/>
        </w:rPr>
        <w:t xml:space="preserve">fraud </w:t>
      </w:r>
    </w:p>
    <w:p w14:paraId="1A8D0895" w14:textId="7A3E2102" w:rsidR="00624D64" w:rsidRPr="00A45490" w:rsidRDefault="00624D64" w:rsidP="00D132D1">
      <w:pPr>
        <w:pStyle w:val="ListParagraph0"/>
        <w:widowControl w:val="0"/>
        <w:numPr>
          <w:ilvl w:val="0"/>
          <w:numId w:val="49"/>
        </w:numPr>
        <w:spacing w:before="60" w:after="0" w:line="240" w:lineRule="auto"/>
        <w:ind w:left="714" w:hanging="357"/>
        <w:rPr>
          <w:rFonts w:ascii="Public Sans" w:hAnsi="Public Sans"/>
          <w:sz w:val="22"/>
          <w:szCs w:val="22"/>
        </w:rPr>
      </w:pPr>
      <w:r w:rsidRPr="00A45490">
        <w:rPr>
          <w:rFonts w:ascii="Public Sans" w:hAnsi="Public Sans"/>
          <w:sz w:val="22"/>
          <w:szCs w:val="22"/>
        </w:rPr>
        <w:t>seek repayment of lost funds by the principal’s financial institution(s) on the basis that they did not take adequate steps to identify and prevent the abuse.</w:t>
      </w:r>
    </w:p>
    <w:p w14:paraId="2F8EECC2" w14:textId="77777777" w:rsidR="00624D64" w:rsidRPr="00A45490" w:rsidRDefault="00624D64" w:rsidP="00624D64">
      <w:pPr>
        <w:widowControl w:val="0"/>
        <w:rPr>
          <w:rFonts w:ascii="Public Sans" w:hAnsi="Public Sans"/>
          <w:sz w:val="22"/>
          <w:szCs w:val="28"/>
        </w:rPr>
      </w:pPr>
    </w:p>
    <w:p w14:paraId="191DA3E6" w14:textId="131A731E" w:rsidR="00624D64" w:rsidRPr="00A45490" w:rsidRDefault="00624D64" w:rsidP="00624D64">
      <w:pPr>
        <w:widowControl w:val="0"/>
        <w:rPr>
          <w:rFonts w:ascii="Public Sans" w:hAnsi="Public Sans"/>
          <w:sz w:val="22"/>
          <w:szCs w:val="24"/>
        </w:rPr>
      </w:pPr>
      <w:r w:rsidRPr="00A45490">
        <w:rPr>
          <w:rFonts w:ascii="Public Sans" w:hAnsi="Public Sans"/>
          <w:sz w:val="22"/>
          <w:szCs w:val="28"/>
        </w:rPr>
        <w:t>The above options do not provide a consistent pathway for compensation, and as noted in previous inquiries, there are barriers to pursuing existing civil and criminal options. In relation to the latter, previous inquiries</w:t>
      </w:r>
      <w:r w:rsidR="00F0490F">
        <w:rPr>
          <w:rFonts w:ascii="Public Sans" w:hAnsi="Public Sans"/>
          <w:sz w:val="22"/>
          <w:szCs w:val="28"/>
        </w:rPr>
        <w:t xml:space="preserve"> such as the ALRC elder abuse inquiry</w:t>
      </w:r>
      <w:r w:rsidRPr="00A45490">
        <w:rPr>
          <w:rFonts w:ascii="Public Sans" w:hAnsi="Public Sans"/>
          <w:sz w:val="22"/>
          <w:szCs w:val="28"/>
        </w:rPr>
        <w:t xml:space="preserve"> have noted concerns that </w:t>
      </w:r>
      <w:r w:rsidRPr="00A45490">
        <w:rPr>
          <w:rFonts w:ascii="Public Sans" w:hAnsi="Public Sans"/>
          <w:sz w:val="22"/>
          <w:szCs w:val="24"/>
        </w:rPr>
        <w:t xml:space="preserve">the law provides insufficient safeguards against financial abuse and does not treat many forms of financial abuse as criminal; and have highlighted the high evidentiary threshold and lack of redress options with criminal prosecution. </w:t>
      </w:r>
    </w:p>
    <w:p w14:paraId="6650322D" w14:textId="77777777" w:rsidR="00624D64" w:rsidRPr="00A84644" w:rsidRDefault="00624D64" w:rsidP="00A84644">
      <w:pPr>
        <w:rPr>
          <w:rFonts w:ascii="Public Sans" w:hAnsi="Public Sans"/>
          <w:sz w:val="22"/>
          <w:szCs w:val="24"/>
        </w:rPr>
      </w:pPr>
    </w:p>
    <w:p w14:paraId="43F273EE" w14:textId="2CE20699" w:rsidR="00735186" w:rsidRDefault="006E076D" w:rsidP="006E076D">
      <w:pPr>
        <w:rPr>
          <w:rFonts w:ascii="Public Sans" w:eastAsia="Times New Roman" w:hAnsi="Public Sans" w:cs="Arial"/>
          <w:color w:val="000000"/>
          <w:sz w:val="22"/>
          <w:lang w:eastAsia="en-GB"/>
        </w:rPr>
      </w:pPr>
      <w:r>
        <w:rPr>
          <w:rFonts w:ascii="Public Sans" w:eastAsia="Times New Roman" w:hAnsi="Public Sans" w:cs="Arial"/>
          <w:color w:val="000000"/>
          <w:sz w:val="22"/>
          <w:lang w:eastAsia="en-GB"/>
        </w:rPr>
        <w:t>The</w:t>
      </w:r>
      <w:r w:rsidRPr="000C1631">
        <w:rPr>
          <w:rFonts w:ascii="Public Sans" w:eastAsia="Times New Roman" w:hAnsi="Public Sans" w:cs="Arial"/>
          <w:color w:val="000000"/>
          <w:sz w:val="22"/>
          <w:lang w:eastAsia="en-GB"/>
        </w:rPr>
        <w:t xml:space="preserve"> ADC </w:t>
      </w:r>
      <w:r w:rsidR="00313BF1">
        <w:rPr>
          <w:rFonts w:ascii="Public Sans" w:eastAsia="Times New Roman" w:hAnsi="Public Sans" w:cs="Arial"/>
          <w:color w:val="000000"/>
          <w:sz w:val="22"/>
          <w:lang w:eastAsia="en-GB"/>
        </w:rPr>
        <w:t xml:space="preserve">supports the proposal in the discussion paper in relation to compensation and </w:t>
      </w:r>
      <w:r w:rsidRPr="000C1631">
        <w:rPr>
          <w:rFonts w:ascii="Public Sans" w:eastAsia="Times New Roman" w:hAnsi="Public Sans" w:cs="Arial"/>
          <w:color w:val="000000"/>
          <w:sz w:val="22"/>
          <w:lang w:eastAsia="en-GB"/>
        </w:rPr>
        <w:t xml:space="preserve">agrees that avenues for redress should be </w:t>
      </w:r>
      <w:r w:rsidRPr="006E076D">
        <w:rPr>
          <w:rFonts w:ascii="Public Sans" w:eastAsia="Times New Roman" w:hAnsi="Public Sans" w:cs="Arial"/>
          <w:color w:val="000000"/>
          <w:sz w:val="22"/>
          <w:lang w:eastAsia="en-GB"/>
        </w:rPr>
        <w:t>‘effective, informal, flexible and low cost</w:t>
      </w:r>
      <w:r>
        <w:rPr>
          <w:rFonts w:ascii="Public Sans" w:eastAsia="Times New Roman" w:hAnsi="Public Sans" w:cs="Arial"/>
          <w:color w:val="000000"/>
          <w:sz w:val="22"/>
          <w:lang w:eastAsia="en-GB"/>
        </w:rPr>
        <w:t>’</w:t>
      </w:r>
      <w:r w:rsidR="00313BF1">
        <w:rPr>
          <w:rFonts w:ascii="Public Sans" w:eastAsia="Times New Roman" w:hAnsi="Public Sans" w:cs="Arial"/>
          <w:color w:val="000000"/>
          <w:sz w:val="22"/>
          <w:lang w:eastAsia="en-GB"/>
        </w:rPr>
        <w:t>. We</w:t>
      </w:r>
      <w:r>
        <w:rPr>
          <w:rFonts w:ascii="Public Sans" w:eastAsia="Times New Roman" w:hAnsi="Public Sans" w:cs="Arial"/>
          <w:color w:val="000000"/>
          <w:sz w:val="22"/>
          <w:lang w:eastAsia="en-GB"/>
        </w:rPr>
        <w:t xml:space="preserve"> support consideration of NCAT as an accessible compensation pathway in NSW. In discussions with relevant agencies about the process for seeking compensation through VCAT in Victoria, the ADC </w:t>
      </w:r>
      <w:r w:rsidR="00735186">
        <w:rPr>
          <w:rFonts w:ascii="Public Sans" w:eastAsia="Times New Roman" w:hAnsi="Public Sans" w:cs="Arial"/>
          <w:color w:val="000000"/>
          <w:sz w:val="22"/>
          <w:lang w:eastAsia="en-GB"/>
        </w:rPr>
        <w:t xml:space="preserve">received positive feedback, including that it is a user-friendly, low cost, non-adversarial process that older people have been willing to pursue. </w:t>
      </w:r>
    </w:p>
    <w:p w14:paraId="51A27C87" w14:textId="77777777" w:rsidR="00735186" w:rsidRDefault="00735186" w:rsidP="006E076D">
      <w:pPr>
        <w:rPr>
          <w:rFonts w:ascii="Public Sans" w:eastAsia="Times New Roman" w:hAnsi="Public Sans" w:cs="Arial"/>
          <w:color w:val="000000"/>
          <w:sz w:val="22"/>
          <w:lang w:eastAsia="en-GB"/>
        </w:rPr>
      </w:pPr>
    </w:p>
    <w:p w14:paraId="5EBC48DE" w14:textId="09E2671F" w:rsidR="006E076D" w:rsidRPr="000C1631" w:rsidRDefault="00735186" w:rsidP="006E076D">
      <w:pPr>
        <w:rPr>
          <w:rFonts w:ascii="Public Sans" w:eastAsia="Times New Roman" w:hAnsi="Public Sans" w:cs="Arial"/>
          <w:color w:val="000000"/>
          <w:sz w:val="22"/>
          <w:lang w:eastAsia="en-GB"/>
        </w:rPr>
      </w:pPr>
      <w:r>
        <w:rPr>
          <w:rFonts w:ascii="Public Sans" w:eastAsia="Times New Roman" w:hAnsi="Public Sans" w:cs="Arial"/>
          <w:color w:val="000000"/>
          <w:sz w:val="22"/>
          <w:lang w:eastAsia="en-GB"/>
        </w:rPr>
        <w:t xml:space="preserve">It is vital that third parties are able to pursue compensation on behalf of a principal. For example, </w:t>
      </w:r>
      <w:r w:rsidR="00313BF1">
        <w:rPr>
          <w:rFonts w:ascii="Public Sans" w:eastAsia="Times New Roman" w:hAnsi="Public Sans" w:cs="Arial"/>
          <w:color w:val="000000"/>
          <w:sz w:val="22"/>
          <w:lang w:eastAsia="en-GB"/>
        </w:rPr>
        <w:t xml:space="preserve">for </w:t>
      </w:r>
      <w:r>
        <w:rPr>
          <w:rFonts w:ascii="Public Sans" w:eastAsia="Times New Roman" w:hAnsi="Public Sans" w:cs="Arial"/>
          <w:color w:val="000000"/>
          <w:sz w:val="22"/>
          <w:lang w:eastAsia="en-GB"/>
        </w:rPr>
        <w:t xml:space="preserve">the ADC </w:t>
      </w:r>
      <w:r w:rsidR="00313BF1">
        <w:rPr>
          <w:rFonts w:ascii="Public Sans" w:eastAsia="Times New Roman" w:hAnsi="Public Sans" w:cs="Arial"/>
          <w:color w:val="000000"/>
          <w:sz w:val="22"/>
          <w:lang w:eastAsia="en-GB"/>
        </w:rPr>
        <w:t xml:space="preserve">to be </w:t>
      </w:r>
      <w:r>
        <w:rPr>
          <w:rFonts w:ascii="Public Sans" w:eastAsia="Times New Roman" w:hAnsi="Public Sans" w:cs="Arial"/>
          <w:color w:val="000000"/>
          <w:sz w:val="22"/>
          <w:lang w:eastAsia="en-GB"/>
        </w:rPr>
        <w:t xml:space="preserve">able to </w:t>
      </w:r>
      <w:r w:rsidR="00313BF1">
        <w:rPr>
          <w:rFonts w:ascii="Public Sans" w:eastAsia="Times New Roman" w:hAnsi="Public Sans" w:cs="Arial"/>
          <w:color w:val="000000"/>
          <w:sz w:val="22"/>
          <w:lang w:eastAsia="en-GB"/>
        </w:rPr>
        <w:t>apply for</w:t>
      </w:r>
      <w:r>
        <w:rPr>
          <w:rFonts w:ascii="Public Sans" w:eastAsia="Times New Roman" w:hAnsi="Public Sans" w:cs="Arial"/>
          <w:color w:val="000000"/>
          <w:sz w:val="22"/>
          <w:lang w:eastAsia="en-GB"/>
        </w:rPr>
        <w:t xml:space="preserve"> a compensation order for a principal in connection with an investigation we have conducted</w:t>
      </w:r>
      <w:r w:rsidR="00313BF1">
        <w:rPr>
          <w:rFonts w:ascii="Public Sans" w:eastAsia="Times New Roman" w:hAnsi="Public Sans" w:cs="Arial"/>
          <w:color w:val="000000"/>
          <w:sz w:val="22"/>
          <w:lang w:eastAsia="en-GB"/>
        </w:rPr>
        <w:t xml:space="preserve"> into misuse of their EPOA</w:t>
      </w:r>
      <w:r>
        <w:rPr>
          <w:rFonts w:ascii="Public Sans" w:eastAsia="Times New Roman" w:hAnsi="Public Sans" w:cs="Arial"/>
          <w:color w:val="000000"/>
          <w:sz w:val="22"/>
          <w:lang w:eastAsia="en-GB"/>
        </w:rPr>
        <w:t xml:space="preserve">.  </w:t>
      </w:r>
      <w:r w:rsidR="006E076D">
        <w:rPr>
          <w:rFonts w:ascii="Public Sans" w:eastAsia="Times New Roman" w:hAnsi="Public Sans" w:cs="Arial"/>
          <w:color w:val="000000"/>
          <w:sz w:val="22"/>
          <w:lang w:eastAsia="en-GB"/>
        </w:rPr>
        <w:t xml:space="preserve"> </w:t>
      </w:r>
      <w:r w:rsidR="006E076D" w:rsidRPr="000C1631">
        <w:rPr>
          <w:rFonts w:ascii="Public Sans" w:eastAsia="Times New Roman" w:hAnsi="Public Sans" w:cs="Arial"/>
          <w:color w:val="000000"/>
          <w:sz w:val="22"/>
          <w:lang w:eastAsia="en-GB"/>
        </w:rPr>
        <w:t xml:space="preserve"> </w:t>
      </w:r>
    </w:p>
    <w:p w14:paraId="16D0F5A6" w14:textId="77777777" w:rsidR="006E076D" w:rsidRDefault="006E076D" w:rsidP="00A84644">
      <w:pPr>
        <w:rPr>
          <w:rFonts w:ascii="Public Sans" w:eastAsia="Times New Roman" w:hAnsi="Public Sans" w:cs="Arial"/>
          <w:color w:val="000000"/>
          <w:sz w:val="22"/>
          <w:lang w:eastAsia="en-GB"/>
        </w:rPr>
      </w:pPr>
    </w:p>
    <w:p w14:paraId="76CF98C4" w14:textId="77777777" w:rsidR="00CE295A" w:rsidRPr="00EB0E39" w:rsidRDefault="00CE295A" w:rsidP="00EB0E39">
      <w:pPr>
        <w:pStyle w:val="Heading2"/>
        <w:spacing w:before="0" w:after="200"/>
        <w:rPr>
          <w:rFonts w:ascii="Public Sans" w:hAnsi="Public Sans"/>
          <w:color w:val="002060"/>
          <w:sz w:val="32"/>
          <w:szCs w:val="36"/>
        </w:rPr>
      </w:pPr>
      <w:r w:rsidRPr="00EB0E39">
        <w:rPr>
          <w:rFonts w:ascii="Public Sans" w:hAnsi="Public Sans"/>
          <w:color w:val="002060"/>
          <w:sz w:val="32"/>
          <w:szCs w:val="36"/>
        </w:rPr>
        <w:t>Offences and civil penalties</w:t>
      </w:r>
    </w:p>
    <w:p w14:paraId="68C1C050" w14:textId="2F9391A1" w:rsidR="007A0396" w:rsidRDefault="007A0396" w:rsidP="006F7E5E">
      <w:pPr>
        <w:rPr>
          <w:rFonts w:ascii="Public Sans" w:eastAsia="Times New Roman" w:hAnsi="Public Sans" w:cs="Arial"/>
          <w:color w:val="000000"/>
          <w:sz w:val="22"/>
          <w:lang w:eastAsia="en-GB"/>
        </w:rPr>
      </w:pPr>
      <w:r>
        <w:rPr>
          <w:rFonts w:ascii="Public Sans" w:eastAsia="Times New Roman" w:hAnsi="Public Sans" w:cs="Arial"/>
          <w:color w:val="000000"/>
          <w:sz w:val="22"/>
          <w:lang w:eastAsia="en-GB"/>
        </w:rPr>
        <w:t>The ADC supports the proposal that the following conduct by attorneys should be penalised:</w:t>
      </w:r>
    </w:p>
    <w:p w14:paraId="70931847" w14:textId="2F3E40BE" w:rsidR="00CE295A" w:rsidRPr="000C1631" w:rsidRDefault="00CE295A" w:rsidP="00D132D1">
      <w:pPr>
        <w:pStyle w:val="ListParagraph0"/>
        <w:numPr>
          <w:ilvl w:val="0"/>
          <w:numId w:val="29"/>
        </w:numPr>
        <w:spacing w:before="60" w:after="0" w:line="240" w:lineRule="auto"/>
        <w:ind w:left="714" w:hanging="357"/>
        <w:rPr>
          <w:rFonts w:ascii="Public Sans" w:hAnsi="Public Sans"/>
          <w:sz w:val="22"/>
          <w:szCs w:val="22"/>
          <w:lang w:eastAsia="en-GB"/>
        </w:rPr>
      </w:pPr>
      <w:r w:rsidRPr="000C1631">
        <w:rPr>
          <w:rFonts w:ascii="Public Sans" w:hAnsi="Public Sans" w:cs="Arial"/>
          <w:color w:val="000000"/>
          <w:sz w:val="22"/>
          <w:szCs w:val="22"/>
          <w:lang w:eastAsia="en-GB"/>
        </w:rPr>
        <w:t>dishonest in</w:t>
      </w:r>
      <w:r w:rsidR="007A0396">
        <w:rPr>
          <w:rFonts w:ascii="Public Sans" w:hAnsi="Public Sans" w:cs="Arial"/>
          <w:color w:val="000000"/>
          <w:sz w:val="22"/>
          <w:szCs w:val="22"/>
          <w:lang w:eastAsia="en-GB"/>
        </w:rPr>
        <w:t>duce</w:t>
      </w:r>
      <w:r w:rsidRPr="000C1631">
        <w:rPr>
          <w:rFonts w:ascii="Public Sans" w:hAnsi="Public Sans" w:cs="Arial"/>
          <w:color w:val="000000"/>
          <w:sz w:val="22"/>
          <w:szCs w:val="22"/>
          <w:lang w:eastAsia="en-GB"/>
        </w:rPr>
        <w:t>ment to execute or revoke an EPOA</w:t>
      </w:r>
    </w:p>
    <w:p w14:paraId="5617582C" w14:textId="4121B1C5" w:rsidR="00CE295A" w:rsidRPr="000C1631" w:rsidRDefault="00CE295A" w:rsidP="006F7E5E">
      <w:pPr>
        <w:pStyle w:val="ListParagraph0"/>
        <w:numPr>
          <w:ilvl w:val="0"/>
          <w:numId w:val="29"/>
        </w:numPr>
        <w:spacing w:before="0" w:after="0" w:line="240" w:lineRule="auto"/>
        <w:contextualSpacing/>
        <w:rPr>
          <w:rFonts w:ascii="Public Sans" w:hAnsi="Public Sans"/>
          <w:sz w:val="22"/>
          <w:szCs w:val="22"/>
          <w:lang w:eastAsia="en-GB"/>
        </w:rPr>
      </w:pPr>
      <w:r w:rsidRPr="000C1631">
        <w:rPr>
          <w:rFonts w:ascii="Public Sans" w:hAnsi="Public Sans" w:cs="Arial"/>
          <w:color w:val="000000"/>
          <w:sz w:val="22"/>
          <w:szCs w:val="22"/>
          <w:lang w:eastAsia="en-GB"/>
        </w:rPr>
        <w:t>dishonest use of an EPOA to obtain financial advantage for the attorney or another person</w:t>
      </w:r>
      <w:r w:rsidR="007A0396">
        <w:rPr>
          <w:rFonts w:ascii="Public Sans" w:hAnsi="Public Sans" w:cs="Arial"/>
          <w:color w:val="000000"/>
          <w:sz w:val="22"/>
          <w:szCs w:val="22"/>
          <w:lang w:eastAsia="en-GB"/>
        </w:rPr>
        <w:t>,</w:t>
      </w:r>
      <w:r w:rsidRPr="000C1631">
        <w:rPr>
          <w:rFonts w:ascii="Public Sans" w:hAnsi="Public Sans" w:cs="Arial"/>
          <w:color w:val="000000"/>
          <w:sz w:val="22"/>
          <w:szCs w:val="22"/>
          <w:lang w:eastAsia="en-GB"/>
        </w:rPr>
        <w:t xml:space="preserve"> or to cause loss to the principal or another person</w:t>
      </w:r>
    </w:p>
    <w:p w14:paraId="589E7DE7" w14:textId="03029069" w:rsidR="00CE295A" w:rsidRPr="000C1631" w:rsidRDefault="00CE295A" w:rsidP="006F7E5E">
      <w:pPr>
        <w:pStyle w:val="ListParagraph0"/>
        <w:numPr>
          <w:ilvl w:val="0"/>
          <w:numId w:val="29"/>
        </w:numPr>
        <w:spacing w:before="0" w:after="0" w:line="240" w:lineRule="auto"/>
        <w:contextualSpacing/>
        <w:rPr>
          <w:rFonts w:ascii="Public Sans" w:hAnsi="Public Sans"/>
          <w:sz w:val="22"/>
          <w:szCs w:val="22"/>
          <w:lang w:eastAsia="en-GB"/>
        </w:rPr>
      </w:pPr>
      <w:r w:rsidRPr="000C1631">
        <w:rPr>
          <w:rFonts w:ascii="Public Sans" w:hAnsi="Public Sans" w:cs="Arial"/>
          <w:color w:val="000000"/>
          <w:sz w:val="22"/>
          <w:szCs w:val="22"/>
          <w:lang w:eastAsia="en-GB"/>
        </w:rPr>
        <w:t xml:space="preserve">misrepresentation in relation to an EPOA, including wrongly </w:t>
      </w:r>
      <w:r w:rsidR="007A0396">
        <w:rPr>
          <w:rFonts w:ascii="Public Sans" w:hAnsi="Public Sans" w:cs="Arial"/>
          <w:color w:val="000000"/>
          <w:sz w:val="22"/>
          <w:szCs w:val="22"/>
          <w:lang w:eastAsia="en-GB"/>
        </w:rPr>
        <w:t xml:space="preserve">purporting </w:t>
      </w:r>
      <w:r w:rsidRPr="000C1631">
        <w:rPr>
          <w:rFonts w:ascii="Public Sans" w:hAnsi="Public Sans" w:cs="Arial"/>
          <w:color w:val="000000"/>
          <w:sz w:val="22"/>
          <w:szCs w:val="22"/>
          <w:lang w:eastAsia="en-GB"/>
        </w:rPr>
        <w:t>to be an attorney</w:t>
      </w:r>
      <w:r w:rsidR="007A0396">
        <w:rPr>
          <w:rFonts w:ascii="Public Sans" w:hAnsi="Public Sans" w:cs="Arial"/>
          <w:color w:val="000000"/>
          <w:sz w:val="22"/>
          <w:szCs w:val="22"/>
          <w:lang w:eastAsia="en-GB"/>
        </w:rPr>
        <w:t>.</w:t>
      </w:r>
    </w:p>
    <w:p w14:paraId="5350F2AA" w14:textId="4CB0066E" w:rsidR="00CE295A" w:rsidRDefault="00CE295A" w:rsidP="006F7E5E">
      <w:pPr>
        <w:rPr>
          <w:rFonts w:ascii="Public Sans" w:eastAsia="Times New Roman" w:hAnsi="Public Sans" w:cs="Arial"/>
          <w:color w:val="000000"/>
          <w:sz w:val="22"/>
          <w:lang w:eastAsia="en-GB"/>
        </w:rPr>
      </w:pPr>
    </w:p>
    <w:p w14:paraId="17F39736" w14:textId="347231E7" w:rsidR="00FC04C5" w:rsidRDefault="00FC04C5" w:rsidP="006F7E5E">
      <w:pPr>
        <w:rPr>
          <w:rFonts w:ascii="Public Sans" w:eastAsia="Times New Roman" w:hAnsi="Public Sans" w:cs="Arial"/>
          <w:color w:val="000000"/>
          <w:sz w:val="22"/>
          <w:lang w:eastAsia="en-GB"/>
        </w:rPr>
      </w:pPr>
      <w:r>
        <w:rPr>
          <w:rFonts w:ascii="Public Sans" w:eastAsia="Times New Roman" w:hAnsi="Public Sans" w:cs="Arial"/>
          <w:color w:val="000000"/>
          <w:sz w:val="22"/>
          <w:lang w:eastAsia="en-GB"/>
        </w:rPr>
        <w:t xml:space="preserve">In our view, there would be strong merit in considering an additional offence for </w:t>
      </w:r>
      <w:r w:rsidR="000C2BB7">
        <w:rPr>
          <w:rFonts w:ascii="Public Sans" w:eastAsia="Times New Roman" w:hAnsi="Public Sans" w:cs="Arial"/>
          <w:color w:val="000000"/>
          <w:sz w:val="22"/>
          <w:lang w:eastAsia="en-GB"/>
        </w:rPr>
        <w:t xml:space="preserve">an attorney </w:t>
      </w:r>
      <w:r>
        <w:rPr>
          <w:rFonts w:ascii="Public Sans" w:eastAsia="Times New Roman" w:hAnsi="Public Sans" w:cs="Arial"/>
          <w:color w:val="000000"/>
          <w:sz w:val="22"/>
          <w:lang w:eastAsia="en-GB"/>
        </w:rPr>
        <w:t>failing to disclose</w:t>
      </w:r>
      <w:r w:rsidR="00547CDD">
        <w:rPr>
          <w:rFonts w:ascii="Public Sans" w:eastAsia="Times New Roman" w:hAnsi="Public Sans" w:cs="Arial"/>
          <w:color w:val="000000"/>
          <w:sz w:val="22"/>
          <w:lang w:eastAsia="en-GB"/>
        </w:rPr>
        <w:t xml:space="preserve"> </w:t>
      </w:r>
      <w:r w:rsidR="000C2BB7">
        <w:rPr>
          <w:rFonts w:ascii="Public Sans" w:eastAsia="Times New Roman" w:hAnsi="Public Sans" w:cs="Arial"/>
          <w:color w:val="000000"/>
          <w:sz w:val="22"/>
          <w:lang w:eastAsia="en-GB"/>
        </w:rPr>
        <w:t xml:space="preserve">the existence of grounds that would make them ineligible to be appointed an attorney. For example, if an attorney signs an EPOA despite not meeting the eligibility criteria due to their bankruptcy or insolvency status or a dishonesty conviction. </w:t>
      </w:r>
      <w:r w:rsidR="000C2BB7">
        <w:rPr>
          <w:rFonts w:ascii="Public Sans" w:eastAsia="Times New Roman" w:hAnsi="Public Sans" w:cs="Arial"/>
          <w:color w:val="000000"/>
          <w:sz w:val="22"/>
          <w:lang w:eastAsia="en-GB"/>
        </w:rPr>
        <w:lastRenderedPageBreak/>
        <w:t xml:space="preserve">This may be intended to be covered under ‘misrepresentation in relation to an EPOA’ </w:t>
      </w:r>
      <w:r w:rsidR="00662819">
        <w:rPr>
          <w:rFonts w:ascii="Public Sans" w:eastAsia="Times New Roman" w:hAnsi="Public Sans" w:cs="Arial"/>
          <w:color w:val="000000"/>
          <w:sz w:val="22"/>
          <w:lang w:eastAsia="en-GB"/>
        </w:rPr>
        <w:t xml:space="preserve">but, if not, we would support a specific offence in relation to this. </w:t>
      </w:r>
    </w:p>
    <w:p w14:paraId="54858383" w14:textId="77777777" w:rsidR="00FC04C5" w:rsidRPr="000C1631" w:rsidRDefault="00FC04C5" w:rsidP="006F7E5E">
      <w:pPr>
        <w:rPr>
          <w:rFonts w:ascii="Public Sans" w:eastAsia="Times New Roman" w:hAnsi="Public Sans" w:cs="Arial"/>
          <w:color w:val="000000"/>
          <w:sz w:val="22"/>
          <w:lang w:eastAsia="en-GB"/>
        </w:rPr>
      </w:pPr>
    </w:p>
    <w:p w14:paraId="0D97B2C2" w14:textId="77777777" w:rsidR="0087443E" w:rsidRDefault="007A0396" w:rsidP="006F7E5E">
      <w:pPr>
        <w:rPr>
          <w:rFonts w:ascii="Public Sans" w:eastAsia="Times New Roman" w:hAnsi="Public Sans" w:cs="Arial"/>
          <w:color w:val="000000"/>
          <w:sz w:val="22"/>
          <w:lang w:eastAsia="en-GB"/>
        </w:rPr>
      </w:pPr>
      <w:r>
        <w:rPr>
          <w:rFonts w:ascii="Public Sans" w:eastAsia="Times New Roman" w:hAnsi="Public Sans" w:cs="Arial"/>
          <w:color w:val="000000"/>
          <w:sz w:val="22"/>
          <w:lang w:eastAsia="en-GB"/>
        </w:rPr>
        <w:t xml:space="preserve">Introducing </w:t>
      </w:r>
      <w:r w:rsidR="00043B97">
        <w:rPr>
          <w:rFonts w:ascii="Public Sans" w:eastAsia="Times New Roman" w:hAnsi="Public Sans" w:cs="Arial"/>
          <w:color w:val="000000"/>
          <w:sz w:val="22"/>
          <w:lang w:eastAsia="en-GB"/>
        </w:rPr>
        <w:t xml:space="preserve">offences </w:t>
      </w:r>
      <w:r>
        <w:rPr>
          <w:rFonts w:ascii="Public Sans" w:eastAsia="Times New Roman" w:hAnsi="Public Sans" w:cs="Arial"/>
          <w:color w:val="000000"/>
          <w:sz w:val="22"/>
          <w:lang w:eastAsia="en-GB"/>
        </w:rPr>
        <w:t xml:space="preserve">in relation to the above would </w:t>
      </w:r>
      <w:r w:rsidR="00043B97">
        <w:rPr>
          <w:rFonts w:ascii="Public Sans" w:eastAsia="Times New Roman" w:hAnsi="Public Sans" w:cs="Arial"/>
          <w:color w:val="000000"/>
          <w:sz w:val="22"/>
          <w:lang w:eastAsia="en-GB"/>
        </w:rPr>
        <w:t>significantly strengthen practice and safeguards</w:t>
      </w:r>
      <w:r w:rsidR="00786AFA">
        <w:rPr>
          <w:rFonts w:ascii="Public Sans" w:eastAsia="Times New Roman" w:hAnsi="Public Sans" w:cs="Arial"/>
          <w:color w:val="000000"/>
          <w:sz w:val="22"/>
          <w:lang w:eastAsia="en-GB"/>
        </w:rPr>
        <w:t>, and access to justice for principals in NSW</w:t>
      </w:r>
      <w:r>
        <w:rPr>
          <w:rFonts w:ascii="Public Sans" w:eastAsia="Times New Roman" w:hAnsi="Public Sans" w:cs="Arial"/>
          <w:color w:val="000000"/>
          <w:sz w:val="22"/>
          <w:lang w:eastAsia="en-GB"/>
        </w:rPr>
        <w:t xml:space="preserve">. </w:t>
      </w:r>
      <w:r w:rsidR="00043B97">
        <w:rPr>
          <w:rFonts w:ascii="Public Sans" w:eastAsia="Times New Roman" w:hAnsi="Public Sans" w:cs="Arial"/>
          <w:color w:val="000000"/>
          <w:sz w:val="22"/>
          <w:lang w:eastAsia="en-GB"/>
        </w:rPr>
        <w:t xml:space="preserve">Currently, the </w:t>
      </w:r>
      <w:r w:rsidR="0019299C">
        <w:rPr>
          <w:rFonts w:ascii="Public Sans" w:eastAsia="Times New Roman" w:hAnsi="Public Sans" w:cs="Arial"/>
          <w:color w:val="000000"/>
          <w:sz w:val="22"/>
          <w:lang w:eastAsia="en-GB"/>
        </w:rPr>
        <w:t>offence provisions in NSW are inadequate and solely relate</w:t>
      </w:r>
      <w:r w:rsidR="00043B97">
        <w:rPr>
          <w:rFonts w:ascii="Public Sans" w:eastAsia="Times New Roman" w:hAnsi="Public Sans" w:cs="Arial"/>
          <w:color w:val="000000"/>
          <w:sz w:val="22"/>
          <w:lang w:eastAsia="en-GB"/>
        </w:rPr>
        <w:t xml:space="preserve"> to an attorney knowingly using a suspended or terminated EPOA. </w:t>
      </w:r>
      <w:r w:rsidR="0019299C">
        <w:rPr>
          <w:rFonts w:ascii="Public Sans" w:eastAsia="Times New Roman" w:hAnsi="Public Sans" w:cs="Arial"/>
          <w:color w:val="000000"/>
          <w:sz w:val="22"/>
          <w:lang w:eastAsia="en-GB"/>
        </w:rPr>
        <w:t xml:space="preserve">It is much more common for the ADC to handle reports that identify dishonest use of an EPOA of an older person or adult with disability to gain financial advantage for the attorney and/or other person(s), but the options for holding the attorney to account are very limited. </w:t>
      </w:r>
    </w:p>
    <w:p w14:paraId="26DE4145" w14:textId="77777777" w:rsidR="0087443E" w:rsidRDefault="0087443E" w:rsidP="006F7E5E">
      <w:pPr>
        <w:rPr>
          <w:rFonts w:ascii="Public Sans" w:eastAsia="Times New Roman" w:hAnsi="Public Sans" w:cs="Arial"/>
          <w:color w:val="000000"/>
          <w:sz w:val="22"/>
          <w:lang w:eastAsia="en-GB"/>
        </w:rPr>
      </w:pPr>
    </w:p>
    <w:p w14:paraId="64BF1B10" w14:textId="6FEC503D" w:rsidR="00CE295A" w:rsidRDefault="0019299C" w:rsidP="006F7E5E">
      <w:pPr>
        <w:rPr>
          <w:rFonts w:ascii="Public Sans" w:eastAsia="Times New Roman" w:hAnsi="Public Sans" w:cs="Arial"/>
          <w:color w:val="000000"/>
          <w:sz w:val="22"/>
          <w:lang w:eastAsia="en-GB"/>
        </w:rPr>
      </w:pPr>
      <w:r>
        <w:rPr>
          <w:rFonts w:ascii="Public Sans" w:eastAsia="Times New Roman" w:hAnsi="Public Sans" w:cs="Arial"/>
          <w:color w:val="000000"/>
          <w:sz w:val="22"/>
          <w:lang w:eastAsia="en-GB"/>
        </w:rPr>
        <w:t xml:space="preserve">While the ADC has seen improvements in the response of police to these matters, including a greater willingness to investigate in relation to potential fraud, it remains difficult to </w:t>
      </w:r>
      <w:r w:rsidR="00786AFA">
        <w:rPr>
          <w:rFonts w:ascii="Public Sans" w:eastAsia="Times New Roman" w:hAnsi="Public Sans" w:cs="Arial"/>
          <w:color w:val="000000"/>
          <w:sz w:val="22"/>
          <w:lang w:eastAsia="en-GB"/>
        </w:rPr>
        <w:t>reach the threshold for proving fraud in many cases. Specific offences relating to dishonest conduct by an attorney in relation to an EPOA</w:t>
      </w:r>
      <w:r>
        <w:rPr>
          <w:rFonts w:ascii="Public Sans" w:eastAsia="Times New Roman" w:hAnsi="Public Sans" w:cs="Arial"/>
          <w:color w:val="000000"/>
          <w:sz w:val="22"/>
          <w:lang w:eastAsia="en-GB"/>
        </w:rPr>
        <w:t xml:space="preserve"> </w:t>
      </w:r>
      <w:r w:rsidR="00786AFA">
        <w:rPr>
          <w:rFonts w:ascii="Public Sans" w:eastAsia="Times New Roman" w:hAnsi="Public Sans" w:cs="Arial"/>
          <w:color w:val="000000"/>
          <w:sz w:val="22"/>
          <w:lang w:eastAsia="en-GB"/>
        </w:rPr>
        <w:t xml:space="preserve">would make a substantial and positive difference. </w:t>
      </w:r>
    </w:p>
    <w:p w14:paraId="127E0FDA" w14:textId="6B81C8F9" w:rsidR="00CE295A" w:rsidRPr="000C1631" w:rsidRDefault="00CE295A" w:rsidP="006F7E5E">
      <w:pPr>
        <w:rPr>
          <w:rFonts w:ascii="Public Sans" w:eastAsia="Times New Roman" w:hAnsi="Public Sans" w:cs="Arial"/>
          <w:color w:val="000000"/>
          <w:sz w:val="22"/>
          <w:lang w:eastAsia="en-GB"/>
        </w:rPr>
      </w:pPr>
    </w:p>
    <w:p w14:paraId="7E2DE9DE" w14:textId="77777777" w:rsidR="00CE295A" w:rsidRPr="00A25F93" w:rsidRDefault="00CE295A" w:rsidP="00A25F93">
      <w:pPr>
        <w:pStyle w:val="Heading2"/>
        <w:spacing w:before="0" w:after="200"/>
        <w:rPr>
          <w:rFonts w:ascii="Public Sans" w:hAnsi="Public Sans" w:cs="Times New Roman"/>
          <w:color w:val="002060"/>
          <w:sz w:val="32"/>
          <w:szCs w:val="36"/>
        </w:rPr>
      </w:pPr>
      <w:r w:rsidRPr="00A25F93">
        <w:rPr>
          <w:rFonts w:ascii="Public Sans" w:hAnsi="Public Sans"/>
          <w:color w:val="002060"/>
          <w:sz w:val="32"/>
          <w:szCs w:val="36"/>
        </w:rPr>
        <w:t>Information, resources or training for witnesses and attorneys</w:t>
      </w:r>
    </w:p>
    <w:p w14:paraId="31599D98" w14:textId="4A8128DF" w:rsidR="004E1861" w:rsidRDefault="00507781" w:rsidP="006F7E5E">
      <w:pPr>
        <w:rPr>
          <w:rFonts w:ascii="Public Sans" w:eastAsia="Times New Roman" w:hAnsi="Public Sans" w:cs="Arial"/>
          <w:color w:val="000000"/>
          <w:sz w:val="22"/>
          <w:lang w:eastAsia="en-GB"/>
        </w:rPr>
      </w:pPr>
      <w:r>
        <w:rPr>
          <w:rFonts w:ascii="Public Sans" w:eastAsia="Times New Roman" w:hAnsi="Public Sans" w:cs="Arial"/>
          <w:color w:val="000000"/>
          <w:sz w:val="22"/>
          <w:lang w:eastAsia="en-GB"/>
        </w:rPr>
        <w:t xml:space="preserve">We agree that it is vital that there is adequate, accessible, and easy to understand information, resources and training for principals, attorneys and authorised witnesses. </w:t>
      </w:r>
      <w:r w:rsidR="00D12D2F">
        <w:rPr>
          <w:rFonts w:ascii="Public Sans" w:eastAsia="Times New Roman" w:hAnsi="Public Sans" w:cs="Arial"/>
          <w:color w:val="000000"/>
          <w:sz w:val="22"/>
          <w:lang w:eastAsia="en-GB"/>
        </w:rPr>
        <w:t>In e</w:t>
      </w:r>
      <w:r w:rsidR="004E1861">
        <w:rPr>
          <w:rFonts w:ascii="Public Sans" w:eastAsia="Times New Roman" w:hAnsi="Public Sans" w:cs="Arial"/>
          <w:color w:val="000000"/>
          <w:sz w:val="22"/>
          <w:lang w:eastAsia="en-GB"/>
        </w:rPr>
        <w:t>arlier sections of this submission</w:t>
      </w:r>
      <w:r w:rsidR="00D12D2F">
        <w:rPr>
          <w:rFonts w:ascii="Public Sans" w:eastAsia="Times New Roman" w:hAnsi="Public Sans" w:cs="Arial"/>
          <w:color w:val="000000"/>
          <w:sz w:val="22"/>
          <w:lang w:eastAsia="en-GB"/>
        </w:rPr>
        <w:t xml:space="preserve">, we have provided </w:t>
      </w:r>
      <w:r w:rsidR="004E1861">
        <w:rPr>
          <w:rFonts w:ascii="Public Sans" w:eastAsia="Times New Roman" w:hAnsi="Public Sans" w:cs="Arial"/>
          <w:color w:val="000000"/>
          <w:sz w:val="22"/>
          <w:lang w:eastAsia="en-GB"/>
        </w:rPr>
        <w:t xml:space="preserve">feedback on the contents of the proposed plain language guidance for these parties, including the </w:t>
      </w:r>
      <w:r w:rsidR="00D12D2F">
        <w:rPr>
          <w:rFonts w:ascii="Public Sans" w:eastAsia="Times New Roman" w:hAnsi="Public Sans" w:cs="Arial"/>
          <w:color w:val="000000"/>
          <w:sz w:val="22"/>
          <w:lang w:eastAsia="en-GB"/>
        </w:rPr>
        <w:t>need to include</w:t>
      </w:r>
      <w:r w:rsidR="004E1861">
        <w:rPr>
          <w:rFonts w:ascii="Public Sans" w:eastAsia="Times New Roman" w:hAnsi="Public Sans" w:cs="Arial"/>
          <w:color w:val="000000"/>
          <w:sz w:val="22"/>
          <w:lang w:eastAsia="en-GB"/>
        </w:rPr>
        <w:t xml:space="preserve"> clear and practical examples. </w:t>
      </w:r>
    </w:p>
    <w:p w14:paraId="4996B0DE" w14:textId="77777777" w:rsidR="004E1861" w:rsidRDefault="004E1861" w:rsidP="006F7E5E">
      <w:pPr>
        <w:rPr>
          <w:rFonts w:ascii="Public Sans" w:eastAsia="Times New Roman" w:hAnsi="Public Sans" w:cs="Arial"/>
          <w:color w:val="000000"/>
          <w:sz w:val="22"/>
          <w:lang w:eastAsia="en-GB"/>
        </w:rPr>
      </w:pPr>
    </w:p>
    <w:p w14:paraId="11841D1D" w14:textId="6EEDF2C2" w:rsidR="00F850BF" w:rsidRDefault="004E1861" w:rsidP="006F7E5E">
      <w:pPr>
        <w:rPr>
          <w:rFonts w:ascii="Public Sans" w:eastAsia="Times New Roman" w:hAnsi="Public Sans" w:cs="Arial"/>
          <w:color w:val="000000"/>
          <w:sz w:val="22"/>
          <w:lang w:eastAsia="en-GB"/>
        </w:rPr>
      </w:pPr>
      <w:r>
        <w:rPr>
          <w:rFonts w:ascii="Public Sans" w:eastAsia="Times New Roman" w:hAnsi="Public Sans" w:cs="Arial"/>
          <w:color w:val="000000"/>
          <w:sz w:val="22"/>
          <w:lang w:eastAsia="en-GB"/>
        </w:rPr>
        <w:t>In our view, t</w:t>
      </w:r>
      <w:r w:rsidR="00507781">
        <w:rPr>
          <w:rFonts w:ascii="Public Sans" w:eastAsia="Times New Roman" w:hAnsi="Public Sans" w:cs="Arial"/>
          <w:color w:val="000000"/>
          <w:sz w:val="22"/>
          <w:lang w:eastAsia="en-GB"/>
        </w:rPr>
        <w:t xml:space="preserve">here is also a need for clear information for the general community, to enable simple and readily understandable messages to be </w:t>
      </w:r>
      <w:r>
        <w:rPr>
          <w:rFonts w:ascii="Public Sans" w:eastAsia="Times New Roman" w:hAnsi="Public Sans" w:cs="Arial"/>
          <w:color w:val="000000"/>
          <w:sz w:val="22"/>
          <w:lang w:eastAsia="en-GB"/>
        </w:rPr>
        <w:t>read/</w:t>
      </w:r>
      <w:r w:rsidR="00507781">
        <w:rPr>
          <w:rFonts w:ascii="Public Sans" w:eastAsia="Times New Roman" w:hAnsi="Public Sans" w:cs="Arial"/>
          <w:color w:val="000000"/>
          <w:sz w:val="22"/>
          <w:lang w:eastAsia="en-GB"/>
        </w:rPr>
        <w:t xml:space="preserve">heard and understood by people who may be bystanders </w:t>
      </w:r>
      <w:r>
        <w:rPr>
          <w:rFonts w:ascii="Public Sans" w:eastAsia="Times New Roman" w:hAnsi="Public Sans" w:cs="Arial"/>
          <w:color w:val="000000"/>
          <w:sz w:val="22"/>
          <w:lang w:eastAsia="en-GB"/>
        </w:rPr>
        <w:t>in</w:t>
      </w:r>
      <w:r w:rsidR="00507781">
        <w:rPr>
          <w:rFonts w:ascii="Public Sans" w:eastAsia="Times New Roman" w:hAnsi="Public Sans" w:cs="Arial"/>
          <w:color w:val="000000"/>
          <w:sz w:val="22"/>
          <w:lang w:eastAsia="en-GB"/>
        </w:rPr>
        <w:t xml:space="preserve"> situations involving abuse or exploitation via an EPOA. </w:t>
      </w:r>
      <w:r>
        <w:rPr>
          <w:rFonts w:ascii="Public Sans" w:eastAsia="Times New Roman" w:hAnsi="Public Sans" w:cs="Arial"/>
          <w:color w:val="000000"/>
          <w:sz w:val="22"/>
          <w:lang w:eastAsia="en-GB"/>
        </w:rPr>
        <w:t xml:space="preserve">Part of the information needs to include a call to action to raise their concerns, and the details of where they can go to, such as the ADC and other adult safeguarding bodies, and police. </w:t>
      </w:r>
    </w:p>
    <w:p w14:paraId="1EE75C5B" w14:textId="2CCEC070" w:rsidR="00507781" w:rsidRDefault="00507781" w:rsidP="006F7E5E">
      <w:pPr>
        <w:rPr>
          <w:rFonts w:ascii="Public Sans" w:eastAsia="Times New Roman" w:hAnsi="Public Sans" w:cs="Arial"/>
          <w:color w:val="000000"/>
          <w:sz w:val="22"/>
          <w:lang w:eastAsia="en-GB"/>
        </w:rPr>
      </w:pPr>
    </w:p>
    <w:p w14:paraId="11E0CFCA" w14:textId="4619E59C" w:rsidR="00594B6A" w:rsidRDefault="00507781" w:rsidP="006F7E5E">
      <w:pPr>
        <w:rPr>
          <w:rFonts w:ascii="Public Sans" w:eastAsia="Times New Roman" w:hAnsi="Public Sans" w:cs="Arial"/>
          <w:color w:val="000000"/>
          <w:sz w:val="22"/>
          <w:lang w:eastAsia="en-GB"/>
        </w:rPr>
      </w:pPr>
      <w:r>
        <w:rPr>
          <w:rFonts w:ascii="Public Sans" w:eastAsia="Times New Roman" w:hAnsi="Public Sans" w:cs="Arial"/>
          <w:color w:val="000000"/>
          <w:sz w:val="22"/>
          <w:lang w:eastAsia="en-GB"/>
        </w:rPr>
        <w:t xml:space="preserve">In relation to attorneys, the timing of the information and training is critical. </w:t>
      </w:r>
      <w:r w:rsidR="000A09CD">
        <w:rPr>
          <w:rFonts w:ascii="Public Sans" w:eastAsia="Times New Roman" w:hAnsi="Public Sans" w:cs="Arial"/>
          <w:color w:val="000000"/>
          <w:sz w:val="22"/>
          <w:lang w:eastAsia="en-GB"/>
        </w:rPr>
        <w:t xml:space="preserve">It is important that the attorney receives and understands the information at the time they are signing the EPOA. However, as many attorneys do not start acting on the EPOA for a long period after signing the document, we consider that there should also be a requirement that they re-read the guidance, undertakings and any training at the time the EPOA commences. </w:t>
      </w:r>
      <w:r w:rsidR="00594B6A">
        <w:rPr>
          <w:rFonts w:ascii="Public Sans" w:eastAsia="Times New Roman" w:hAnsi="Public Sans" w:cs="Arial"/>
          <w:color w:val="000000"/>
          <w:sz w:val="22"/>
          <w:lang w:eastAsia="en-GB"/>
        </w:rPr>
        <w:t xml:space="preserve">We suggest the inclusion of clear text at the front of the EPOA document that states that before the attorney can start using the document, they must ensure they understand their </w:t>
      </w:r>
      <w:r w:rsidR="00314B25">
        <w:rPr>
          <w:rFonts w:ascii="Public Sans" w:eastAsia="Times New Roman" w:hAnsi="Public Sans" w:cs="Arial"/>
          <w:color w:val="000000"/>
          <w:sz w:val="22"/>
          <w:lang w:eastAsia="en-GB"/>
        </w:rPr>
        <w:t>duties</w:t>
      </w:r>
      <w:r w:rsidR="00594B6A">
        <w:rPr>
          <w:rFonts w:ascii="Public Sans" w:eastAsia="Times New Roman" w:hAnsi="Public Sans" w:cs="Arial"/>
          <w:color w:val="000000"/>
          <w:sz w:val="22"/>
          <w:lang w:eastAsia="en-GB"/>
        </w:rPr>
        <w:t xml:space="preserve"> as the attorney. </w:t>
      </w:r>
    </w:p>
    <w:p w14:paraId="4CF273F9" w14:textId="77777777" w:rsidR="00594B6A" w:rsidRDefault="00594B6A" w:rsidP="006F7E5E">
      <w:pPr>
        <w:rPr>
          <w:rFonts w:ascii="Public Sans" w:eastAsia="Times New Roman" w:hAnsi="Public Sans" w:cs="Arial"/>
          <w:color w:val="000000"/>
          <w:sz w:val="22"/>
          <w:lang w:eastAsia="en-GB"/>
        </w:rPr>
      </w:pPr>
    </w:p>
    <w:p w14:paraId="12B95711" w14:textId="78902543" w:rsidR="00507781" w:rsidRDefault="00B071CC" w:rsidP="006F7E5E">
      <w:pPr>
        <w:rPr>
          <w:rFonts w:ascii="Public Sans" w:eastAsia="Times New Roman" w:hAnsi="Public Sans" w:cs="Arial"/>
          <w:color w:val="000000"/>
          <w:sz w:val="22"/>
          <w:lang w:eastAsia="en-GB"/>
        </w:rPr>
      </w:pPr>
      <w:r>
        <w:rPr>
          <w:rFonts w:ascii="Public Sans" w:eastAsia="Times New Roman" w:hAnsi="Public Sans" w:cs="Arial"/>
          <w:color w:val="000000"/>
          <w:sz w:val="22"/>
          <w:lang w:eastAsia="en-GB"/>
        </w:rPr>
        <w:t xml:space="preserve">The ADC is currently finalising draft guidance for attorneys in NSW on their obligations, with practical examples of what they can and cannot do. We have previously developed guidance for principals and the community on the differences between EPOA, POA and Enduring Guardianship, and </w:t>
      </w:r>
      <w:r w:rsidR="00243228">
        <w:rPr>
          <w:rFonts w:ascii="Public Sans" w:eastAsia="Times New Roman" w:hAnsi="Public Sans" w:cs="Arial"/>
          <w:color w:val="000000"/>
          <w:sz w:val="22"/>
          <w:lang w:eastAsia="en-GB"/>
        </w:rPr>
        <w:t xml:space="preserve">on how to revoke an appointment. </w:t>
      </w:r>
    </w:p>
    <w:p w14:paraId="51A7CC01" w14:textId="2D4A15C3" w:rsidR="00507781" w:rsidRDefault="00507781" w:rsidP="006F7E5E">
      <w:pPr>
        <w:rPr>
          <w:rFonts w:ascii="Public Sans" w:eastAsia="Times New Roman" w:hAnsi="Public Sans" w:cs="Arial"/>
          <w:color w:val="000000"/>
          <w:sz w:val="22"/>
          <w:lang w:eastAsia="en-GB"/>
        </w:rPr>
      </w:pPr>
    </w:p>
    <w:p w14:paraId="0E3193B0" w14:textId="0E97E450" w:rsidR="00507781" w:rsidRDefault="004E1861" w:rsidP="006F7E5E">
      <w:pPr>
        <w:rPr>
          <w:rFonts w:ascii="Public Sans" w:eastAsia="Times New Roman" w:hAnsi="Public Sans" w:cs="Arial"/>
          <w:color w:val="000000"/>
          <w:sz w:val="22"/>
          <w:lang w:eastAsia="en-GB"/>
        </w:rPr>
      </w:pPr>
      <w:r>
        <w:rPr>
          <w:rFonts w:ascii="Public Sans" w:eastAsia="Times New Roman" w:hAnsi="Public Sans" w:cs="Arial"/>
          <w:color w:val="000000"/>
          <w:sz w:val="22"/>
          <w:lang w:eastAsia="en-GB"/>
        </w:rPr>
        <w:t xml:space="preserve">In relation to authorised witnesses, </w:t>
      </w:r>
      <w:r w:rsidR="00A22D2F">
        <w:rPr>
          <w:rFonts w:ascii="Public Sans" w:eastAsia="Times New Roman" w:hAnsi="Public Sans" w:cs="Arial"/>
          <w:color w:val="000000"/>
          <w:sz w:val="22"/>
          <w:lang w:eastAsia="en-GB"/>
        </w:rPr>
        <w:t xml:space="preserve">the ADC would be keen to see enhanced training for solicitors coming into the field, with clear links to their professional development (CPD points). </w:t>
      </w:r>
      <w:r w:rsidR="006016C2">
        <w:rPr>
          <w:rFonts w:ascii="Public Sans" w:eastAsia="Times New Roman" w:hAnsi="Public Sans" w:cs="Arial"/>
          <w:color w:val="000000"/>
          <w:sz w:val="22"/>
          <w:lang w:eastAsia="en-GB"/>
        </w:rPr>
        <w:t xml:space="preserve">In a range of reports involving financial abuse and exploitation of an older person or adult with disability via an EPOA, </w:t>
      </w:r>
      <w:r w:rsidR="00DB0167">
        <w:rPr>
          <w:rFonts w:ascii="Public Sans" w:eastAsia="Times New Roman" w:hAnsi="Public Sans" w:cs="Arial"/>
          <w:color w:val="000000"/>
          <w:sz w:val="22"/>
          <w:lang w:eastAsia="en-GB"/>
        </w:rPr>
        <w:t xml:space="preserve">the solicitor has failed to provide an adequate safeguard for the adult, including failing to identify or follow-up red flags that the adult may not have decision-making capability to enter into an EPOA, and appearing to act on the instructions of family members rather than the adult. </w:t>
      </w:r>
    </w:p>
    <w:p w14:paraId="1EDAF625" w14:textId="5121A250" w:rsidR="00B071CC" w:rsidRDefault="00B071CC" w:rsidP="006F7E5E">
      <w:pPr>
        <w:rPr>
          <w:rFonts w:ascii="Public Sans" w:eastAsia="Times New Roman" w:hAnsi="Public Sans" w:cs="Arial"/>
          <w:color w:val="000000"/>
          <w:sz w:val="22"/>
          <w:lang w:eastAsia="en-GB"/>
        </w:rPr>
      </w:pPr>
    </w:p>
    <w:p w14:paraId="7B34D66F" w14:textId="36D4BD40" w:rsidR="00EC3A2D" w:rsidRDefault="00974BE3" w:rsidP="00EC3A2D">
      <w:pPr>
        <w:rPr>
          <w:rFonts w:ascii="Public Sans" w:eastAsia="Times New Roman" w:hAnsi="Public Sans" w:cs="Arial"/>
          <w:color w:val="000000"/>
          <w:sz w:val="22"/>
          <w:lang w:eastAsia="en-GB"/>
        </w:rPr>
      </w:pPr>
      <w:r>
        <w:rPr>
          <w:rFonts w:ascii="Public Sans" w:eastAsia="Times New Roman" w:hAnsi="Public Sans" w:cs="Times New Roman"/>
          <w:noProof/>
          <w:sz w:val="22"/>
          <w:lang w:eastAsia="en-GB"/>
        </w:rPr>
        <w:t>I</w:t>
      </w:r>
      <w:r w:rsidR="00F850BF">
        <w:rPr>
          <w:rFonts w:ascii="Public Sans" w:eastAsia="Times New Roman" w:hAnsi="Public Sans" w:cs="Times New Roman"/>
          <w:noProof/>
          <w:sz w:val="22"/>
          <w:lang w:eastAsia="en-GB"/>
        </w:rPr>
        <w:t>t is critical that any changes to EPOA laws are accompanied by a public awareness campaign</w:t>
      </w:r>
      <w:r>
        <w:rPr>
          <w:rFonts w:ascii="Public Sans" w:eastAsia="Times New Roman" w:hAnsi="Public Sans" w:cs="Times New Roman"/>
          <w:noProof/>
          <w:sz w:val="22"/>
          <w:lang w:eastAsia="en-GB"/>
        </w:rPr>
        <w:t>(s)</w:t>
      </w:r>
      <w:r w:rsidR="00F850BF">
        <w:rPr>
          <w:rFonts w:ascii="Public Sans" w:eastAsia="Times New Roman" w:hAnsi="Public Sans" w:cs="Times New Roman"/>
          <w:noProof/>
          <w:sz w:val="22"/>
          <w:lang w:eastAsia="en-GB"/>
        </w:rPr>
        <w:t>.</w:t>
      </w:r>
      <w:r>
        <w:rPr>
          <w:rFonts w:ascii="Public Sans" w:eastAsia="Times New Roman" w:hAnsi="Public Sans" w:cs="Times New Roman"/>
          <w:noProof/>
          <w:sz w:val="22"/>
          <w:lang w:eastAsia="en-GB"/>
        </w:rPr>
        <w:t xml:space="preserve"> In our discussions with relevant agencies in Victoria, we understand that there was no public awareness campaign at the time that the changes were made to their </w:t>
      </w:r>
      <w:r w:rsidR="005A5886">
        <w:rPr>
          <w:rFonts w:ascii="Public Sans" w:eastAsia="Times New Roman" w:hAnsi="Public Sans" w:cs="Times New Roman"/>
          <w:noProof/>
          <w:sz w:val="22"/>
          <w:lang w:eastAsia="en-GB"/>
        </w:rPr>
        <w:lastRenderedPageBreak/>
        <w:t>Act</w:t>
      </w:r>
      <w:r>
        <w:rPr>
          <w:rFonts w:ascii="Public Sans" w:eastAsia="Times New Roman" w:hAnsi="Public Sans" w:cs="Times New Roman"/>
          <w:noProof/>
          <w:sz w:val="22"/>
          <w:lang w:eastAsia="en-GB"/>
        </w:rPr>
        <w:t xml:space="preserve">, including to introduce compensation orders. </w:t>
      </w:r>
      <w:r w:rsidR="00997E0E">
        <w:rPr>
          <w:rFonts w:ascii="Public Sans" w:eastAsia="Times New Roman" w:hAnsi="Public Sans" w:cs="Times New Roman"/>
          <w:noProof/>
          <w:sz w:val="22"/>
          <w:lang w:eastAsia="en-GB"/>
        </w:rPr>
        <w:t xml:space="preserve">There was a clear view that this was a missed opportunity to let the public know about the reforms as well as to raise awareness more broadly </w:t>
      </w:r>
      <w:r w:rsidR="00D82447">
        <w:rPr>
          <w:rFonts w:ascii="Public Sans" w:eastAsia="Times New Roman" w:hAnsi="Public Sans" w:cs="Times New Roman"/>
          <w:noProof/>
          <w:sz w:val="22"/>
          <w:lang w:eastAsia="en-GB"/>
        </w:rPr>
        <w:t>about</w:t>
      </w:r>
      <w:r w:rsidR="00997E0E">
        <w:rPr>
          <w:rFonts w:ascii="Public Sans" w:eastAsia="Times New Roman" w:hAnsi="Public Sans" w:cs="Times New Roman"/>
          <w:noProof/>
          <w:sz w:val="22"/>
          <w:lang w:eastAsia="en-GB"/>
        </w:rPr>
        <w:t xml:space="preserve"> EPOAs</w:t>
      </w:r>
      <w:r w:rsidR="00D82447">
        <w:rPr>
          <w:rFonts w:ascii="Public Sans" w:eastAsia="Times New Roman" w:hAnsi="Public Sans" w:cs="Times New Roman"/>
          <w:noProof/>
          <w:sz w:val="22"/>
          <w:lang w:eastAsia="en-GB"/>
        </w:rPr>
        <w:t xml:space="preserve"> and safeguarding</w:t>
      </w:r>
      <w:r w:rsidR="00997E0E">
        <w:rPr>
          <w:rFonts w:ascii="Public Sans" w:eastAsia="Times New Roman" w:hAnsi="Public Sans" w:cs="Times New Roman"/>
          <w:noProof/>
          <w:sz w:val="22"/>
          <w:lang w:eastAsia="en-GB"/>
        </w:rPr>
        <w:t xml:space="preserve">. </w:t>
      </w:r>
    </w:p>
    <w:p w14:paraId="7A432B6E" w14:textId="7B00637B" w:rsidR="00F3427C" w:rsidRPr="003D5ADD" w:rsidRDefault="00F3427C" w:rsidP="006F7E5E">
      <w:pPr>
        <w:pStyle w:val="Heading3"/>
        <w:keepNext w:val="0"/>
        <w:keepLines w:val="0"/>
        <w:widowControl w:val="0"/>
        <w:spacing w:before="0" w:after="0"/>
        <w:rPr>
          <w:rFonts w:ascii="Public Sans" w:hAnsi="Public Sans"/>
          <w:sz w:val="22"/>
        </w:rPr>
      </w:pPr>
    </w:p>
    <w:sectPr w:rsidR="00F3427C" w:rsidRPr="003D5ADD" w:rsidSect="00860235">
      <w:headerReference w:type="even" r:id="rId17"/>
      <w:headerReference w:type="default" r:id="rId18"/>
      <w:footerReference w:type="default" r:id="rId19"/>
      <w:headerReference w:type="first" r:id="rId20"/>
      <w:pgSz w:w="11906" w:h="16838" w:code="9"/>
      <w:pgMar w:top="1134" w:right="1304" w:bottom="851" w:left="130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5F369" w14:textId="77777777" w:rsidR="00EC3F44" w:rsidRDefault="00EC3F44" w:rsidP="00185154">
      <w:r>
        <w:separator/>
      </w:r>
    </w:p>
    <w:p w14:paraId="50E7F363" w14:textId="77777777" w:rsidR="00EC3F44" w:rsidRDefault="00EC3F44"/>
  </w:endnote>
  <w:endnote w:type="continuationSeparator" w:id="0">
    <w:p w14:paraId="2248C80B" w14:textId="77777777" w:rsidR="00EC3F44" w:rsidRDefault="00EC3F44" w:rsidP="00185154">
      <w:r>
        <w:continuationSeparator/>
      </w:r>
    </w:p>
    <w:p w14:paraId="5D2F1926" w14:textId="77777777" w:rsidR="00EC3F44" w:rsidRDefault="00EC3F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ublic Sans">
    <w:panose1 w:val="00000000000000000000"/>
    <w:charset w:val="00"/>
    <w:family w:val="auto"/>
    <w:pitch w:val="variable"/>
    <w:sig w:usb0="A00000FF" w:usb1="4000205B" w:usb2="00000000" w:usb3="00000000" w:csb0="00000193" w:csb1="00000000"/>
  </w:font>
  <w:font w:name="Gotham Thin">
    <w:altName w:val="Calibri"/>
    <w:panose1 w:val="00000000000000000000"/>
    <w:charset w:val="00"/>
    <w:family w:val="modern"/>
    <w:notTrueType/>
    <w:pitch w:val="variable"/>
    <w:sig w:usb0="800000AF" w:usb1="50000048" w:usb2="00000000" w:usb3="00000000" w:csb0="00000111" w:csb1="00000000"/>
  </w:font>
  <w:font w:name="Gotham">
    <w:altName w:val="Calibri"/>
    <w:charset w:val="00"/>
    <w:family w:val="auto"/>
    <w:pitch w:val="variable"/>
    <w:sig w:usb0="800000A7"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Klavika Light">
    <w:altName w:val="Times New Roman"/>
    <w:charset w:val="00"/>
    <w:family w:val="auto"/>
    <w:pitch w:val="variable"/>
    <w:sig w:usb0="00000001" w:usb1="50002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2FE13" w14:textId="77777777" w:rsidR="003C2B52" w:rsidRPr="00906562" w:rsidRDefault="003C2B52" w:rsidP="00906562">
    <w:pPr>
      <w:pStyle w:val="Footer"/>
      <w:pBdr>
        <w:top w:val="single" w:sz="4" w:space="1" w:color="D9D9D9"/>
      </w:pBd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819886895"/>
      <w:docPartObj>
        <w:docPartGallery w:val="Page Numbers (Bottom of Page)"/>
        <w:docPartUnique/>
      </w:docPartObj>
    </w:sdtPr>
    <w:sdtEndPr>
      <w:rPr>
        <w:rFonts w:ascii="Arial" w:hAnsi="Arial" w:cs="Arial"/>
        <w:noProof/>
        <w:color w:val="7F7F7F" w:themeColor="background1" w:themeShade="7F"/>
        <w:spacing w:val="60"/>
        <w:sz w:val="16"/>
        <w:szCs w:val="16"/>
      </w:rPr>
    </w:sdtEndPr>
    <w:sdtContent>
      <w:p w14:paraId="409A4B54" w14:textId="77777777" w:rsidR="003C2B52" w:rsidRPr="00906562" w:rsidRDefault="003C2B52" w:rsidP="00906562">
        <w:pPr>
          <w:pStyle w:val="Footer"/>
          <w:pBdr>
            <w:top w:val="single" w:sz="4" w:space="1" w:color="D9D9D9" w:themeColor="background1" w:themeShade="D9"/>
          </w:pBdr>
          <w:jc w:val="right"/>
          <w:rPr>
            <w:rFonts w:ascii="Arial" w:hAnsi="Arial" w:cs="Arial"/>
            <w:sz w:val="16"/>
            <w:szCs w:val="16"/>
          </w:rPr>
        </w:pPr>
        <w:r w:rsidRPr="00906562">
          <w:rPr>
            <w:rFonts w:ascii="Arial" w:hAnsi="Arial" w:cs="Arial"/>
            <w:noProof w:val="0"/>
            <w:sz w:val="16"/>
            <w:szCs w:val="16"/>
          </w:rPr>
          <w:fldChar w:fldCharType="begin"/>
        </w:r>
        <w:r w:rsidRPr="00906562">
          <w:rPr>
            <w:rFonts w:ascii="Arial" w:hAnsi="Arial" w:cs="Arial"/>
            <w:sz w:val="16"/>
            <w:szCs w:val="16"/>
          </w:rPr>
          <w:instrText xml:space="preserve"> PAGE   \* MERGEFORMAT </w:instrText>
        </w:r>
        <w:r w:rsidRPr="00906562">
          <w:rPr>
            <w:rFonts w:ascii="Arial" w:hAnsi="Arial" w:cs="Arial"/>
            <w:noProof w:val="0"/>
            <w:sz w:val="16"/>
            <w:szCs w:val="16"/>
          </w:rPr>
          <w:fldChar w:fldCharType="separate"/>
        </w:r>
        <w:r w:rsidR="00AA0C5E">
          <w:rPr>
            <w:rFonts w:ascii="Arial" w:hAnsi="Arial" w:cs="Arial"/>
            <w:sz w:val="16"/>
            <w:szCs w:val="16"/>
          </w:rPr>
          <w:t>1</w:t>
        </w:r>
        <w:r w:rsidRPr="00906562">
          <w:rPr>
            <w:rFonts w:ascii="Arial" w:hAnsi="Arial" w:cs="Arial"/>
            <w:sz w:val="16"/>
            <w:szCs w:val="16"/>
          </w:rPr>
          <w:fldChar w:fldCharType="end"/>
        </w:r>
        <w:r w:rsidRPr="00906562">
          <w:rPr>
            <w:rFonts w:ascii="Arial" w:hAnsi="Arial" w:cs="Arial"/>
            <w:sz w:val="16"/>
            <w:szCs w:val="16"/>
          </w:rPr>
          <w:t xml:space="preserve"> | </w:t>
        </w:r>
        <w:r w:rsidRPr="00906562">
          <w:rPr>
            <w:rFonts w:ascii="Arial" w:hAnsi="Arial" w:cs="Arial"/>
            <w:color w:val="7F7F7F" w:themeColor="background1" w:themeShade="7F"/>
            <w:spacing w:val="60"/>
            <w:sz w:val="16"/>
            <w:szCs w:val="16"/>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2100934897"/>
      <w:docPartObj>
        <w:docPartGallery w:val="Page Numbers (Bottom of Page)"/>
        <w:docPartUnique/>
      </w:docPartObj>
    </w:sdtPr>
    <w:sdtEndPr>
      <w:rPr>
        <w:rFonts w:ascii="Arial" w:hAnsi="Arial" w:cs="Arial"/>
        <w:noProof/>
        <w:color w:val="7F7F7F" w:themeColor="background1" w:themeShade="7F"/>
        <w:spacing w:val="60"/>
        <w:sz w:val="16"/>
        <w:szCs w:val="16"/>
      </w:rPr>
    </w:sdtEndPr>
    <w:sdtContent>
      <w:p w14:paraId="6330860F" w14:textId="2D4D6325" w:rsidR="003C2B52" w:rsidRPr="00906562" w:rsidRDefault="003C2B52" w:rsidP="00906562">
        <w:pPr>
          <w:pStyle w:val="Footer"/>
          <w:pBdr>
            <w:top w:val="single" w:sz="4" w:space="1" w:color="D9D9D9" w:themeColor="background1" w:themeShade="D9"/>
          </w:pBdr>
          <w:jc w:val="right"/>
          <w:rPr>
            <w:rFonts w:ascii="Arial" w:hAnsi="Arial" w:cs="Arial"/>
            <w:sz w:val="16"/>
            <w:szCs w:val="16"/>
          </w:rPr>
        </w:pPr>
        <w:r w:rsidRPr="00906562">
          <w:rPr>
            <w:rFonts w:ascii="Arial" w:hAnsi="Arial" w:cs="Arial"/>
            <w:noProof w:val="0"/>
            <w:sz w:val="16"/>
            <w:szCs w:val="16"/>
          </w:rPr>
          <w:fldChar w:fldCharType="begin"/>
        </w:r>
        <w:r w:rsidRPr="00906562">
          <w:rPr>
            <w:rFonts w:ascii="Arial" w:hAnsi="Arial" w:cs="Arial"/>
            <w:sz w:val="16"/>
            <w:szCs w:val="16"/>
          </w:rPr>
          <w:instrText xml:space="preserve"> PAGE   \* MERGEFORMAT </w:instrText>
        </w:r>
        <w:r w:rsidRPr="00906562">
          <w:rPr>
            <w:rFonts w:ascii="Arial" w:hAnsi="Arial" w:cs="Arial"/>
            <w:noProof w:val="0"/>
            <w:sz w:val="16"/>
            <w:szCs w:val="16"/>
          </w:rPr>
          <w:fldChar w:fldCharType="separate"/>
        </w:r>
        <w:r w:rsidR="00666A36">
          <w:rPr>
            <w:rFonts w:ascii="Arial" w:hAnsi="Arial" w:cs="Arial"/>
            <w:sz w:val="16"/>
            <w:szCs w:val="16"/>
          </w:rPr>
          <w:t>1</w:t>
        </w:r>
        <w:r w:rsidRPr="00906562">
          <w:rPr>
            <w:rFonts w:ascii="Arial" w:hAnsi="Arial" w:cs="Arial"/>
            <w:sz w:val="16"/>
            <w:szCs w:val="16"/>
          </w:rPr>
          <w:fldChar w:fldCharType="end"/>
        </w:r>
        <w:r w:rsidRPr="00906562">
          <w:rPr>
            <w:rFonts w:ascii="Arial" w:hAnsi="Arial" w:cs="Arial"/>
            <w:sz w:val="16"/>
            <w:szCs w:val="16"/>
          </w:rPr>
          <w:t xml:space="preserve"> | </w:t>
        </w:r>
        <w:r w:rsidRPr="00906562">
          <w:rPr>
            <w:rFonts w:ascii="Arial" w:hAnsi="Arial" w:cs="Arial"/>
            <w:color w:val="7F7F7F" w:themeColor="background1" w:themeShade="7F"/>
            <w:spacing w:val="60"/>
            <w:sz w:val="16"/>
            <w:szCs w:val="16"/>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05A14" w14:textId="77777777" w:rsidR="00EC3F44" w:rsidRPr="008B1A01" w:rsidRDefault="00EC3F44" w:rsidP="00185154">
      <w:pPr>
        <w:rPr>
          <w:color w:val="324851" w:themeColor="accent1"/>
        </w:rPr>
      </w:pPr>
      <w:r w:rsidRPr="008B1A01">
        <w:rPr>
          <w:color w:val="324851" w:themeColor="accent1"/>
        </w:rPr>
        <w:separator/>
      </w:r>
    </w:p>
    <w:p w14:paraId="114C9BE4" w14:textId="77777777" w:rsidR="00EC3F44" w:rsidRPr="008B1A01" w:rsidRDefault="00EC3F44">
      <w:pPr>
        <w:rPr>
          <w:color w:val="414042" w:themeColor="text2"/>
          <w:sz w:val="6"/>
        </w:rPr>
      </w:pPr>
    </w:p>
  </w:footnote>
  <w:footnote w:type="continuationSeparator" w:id="0">
    <w:p w14:paraId="3B653B74" w14:textId="77777777" w:rsidR="00EC3F44" w:rsidRDefault="00EC3F44" w:rsidP="00185154">
      <w:r>
        <w:continuationSeparator/>
      </w:r>
    </w:p>
    <w:p w14:paraId="35A6A270" w14:textId="77777777" w:rsidR="00EC3F44" w:rsidRDefault="00EC3F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BF54" w14:textId="77777777" w:rsidR="003C2B52" w:rsidRDefault="009C35E1">
    <w:pPr>
      <w:pStyle w:val="Header"/>
    </w:pPr>
    <w:r>
      <w:rPr>
        <w:noProof/>
      </w:rPr>
      <w:pict w14:anchorId="41F2A0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285079" o:spid="_x0000_s2050" type="#_x0000_t136" style="position:absolute;margin-left:0;margin-top:0;width:424.65pt;height:254.75pt;rotation:315;z-index:-251644416;mso-position-horizontal:center;mso-position-horizontal-relative:margin;mso-position-vertical:center;mso-position-vertical-relative:margin" o:allowincell="f" fillcolor="silver" stroked="f">
          <v:fill opacity=".5"/>
          <v:textpath style="font-family:&quot;Calibri Ligh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8E9F6" w14:textId="77777777" w:rsidR="003C2B52" w:rsidRDefault="003C2B52">
    <w:pPr>
      <w:pStyle w:val="Header"/>
    </w:pPr>
    <w:r>
      <w:rPr>
        <w:noProof/>
        <w:lang w:eastAsia="en-AU"/>
      </w:rPr>
      <w:drawing>
        <wp:anchor distT="0" distB="0" distL="114300" distR="114300" simplePos="0" relativeHeight="251701760" behindDoc="0" locked="1" layoutInCell="1" allowOverlap="1" wp14:anchorId="140C62F3" wp14:editId="3A3CCF48">
          <wp:simplePos x="0" y="0"/>
          <wp:positionH relativeFrom="page">
            <wp:posOffset>6985</wp:posOffset>
          </wp:positionH>
          <wp:positionV relativeFrom="page">
            <wp:posOffset>0</wp:posOffset>
          </wp:positionV>
          <wp:extent cx="7541895" cy="1292225"/>
          <wp:effectExtent l="0" t="0" r="1905" b="3175"/>
          <wp:wrapTopAndBottom/>
          <wp:docPr id="2" name="Picture 2" descr="Ageing and Disability Commission Logo | 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geing and Disability Commission Logo | NSW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7541895" cy="12922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BB48B" w14:textId="77777777" w:rsidR="003C2B52" w:rsidRDefault="009C35E1">
    <w:pPr>
      <w:pStyle w:val="Header"/>
    </w:pPr>
    <w:r>
      <w:rPr>
        <w:noProof/>
      </w:rPr>
      <w:pict w14:anchorId="49E8D0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285078" o:spid="_x0000_s2049" type="#_x0000_t136" style="position:absolute;margin-left:0;margin-top:0;width:424.65pt;height:254.75pt;rotation:315;z-index:-251646464;mso-position-horizontal:center;mso-position-horizontal-relative:margin;mso-position-vertical:center;mso-position-vertical-relative:margin" o:allowincell="f" fillcolor="silver" stroked="f">
          <v:fill opacity=".5"/>
          <v:textpath style="font-family:&quot;Calibri Light&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738E" w14:textId="77777777" w:rsidR="003C2B52" w:rsidRDefault="009C35E1">
    <w:pPr>
      <w:pStyle w:val="Header"/>
    </w:pPr>
    <w:r>
      <w:rPr>
        <w:noProof/>
      </w:rPr>
      <w:pict w14:anchorId="038732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285085" o:spid="_x0000_s2056" type="#_x0000_t136" style="position:absolute;margin-left:0;margin-top:0;width:424.65pt;height:254.75pt;rotation:315;z-index:-251632128;mso-position-horizontal:center;mso-position-horizontal-relative:margin;mso-position-vertical:center;mso-position-vertical-relative:margin" o:allowincell="f" fillcolor="silver" stroked="f">
          <v:fill opacity=".5"/>
          <v:textpath style="font-family:&quot;Calibri Light&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5FC0" w14:textId="77777777" w:rsidR="003C2B52" w:rsidRPr="007B5A24" w:rsidRDefault="003C2B52" w:rsidP="007B5A2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D8AB0" w14:textId="77777777" w:rsidR="003C2B52" w:rsidRDefault="009C35E1">
    <w:pPr>
      <w:pStyle w:val="Header"/>
    </w:pPr>
    <w:r>
      <w:rPr>
        <w:noProof/>
      </w:rPr>
      <w:pict w14:anchorId="7498FA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285084" o:spid="_x0000_s2055" type="#_x0000_t136" style="position:absolute;margin-left:0;margin-top:0;width:424.65pt;height:254.75pt;rotation:315;z-index:-251634176;mso-position-horizontal:center;mso-position-horizontal-relative:margin;mso-position-vertical:center;mso-position-vertical-relative:margin" o:allowincell="f" fillcolor="silver" stroked="f">
          <v:fill opacity=".5"/>
          <v:textpath style="font-family:&quot;Calibri Light&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8C5"/>
    <w:multiLevelType w:val="multilevel"/>
    <w:tmpl w:val="11C64328"/>
    <w:styleLink w:val="ListParagraph"/>
    <w:lvl w:ilvl="0">
      <w:start w:val="1"/>
      <w:numFmt w:val="none"/>
      <w:pStyle w:val="ListParagraph0"/>
      <w:suff w:val="nothing"/>
      <w:lvlText w:val=""/>
      <w:lvlJc w:val="left"/>
      <w:pPr>
        <w:ind w:left="284" w:firstLine="0"/>
      </w:pPr>
      <w:rPr>
        <w:rFonts w:asciiTheme="minorHAnsi" w:hAnsiTheme="minorHAnsi" w:hint="default"/>
        <w:color w:val="auto"/>
      </w:rPr>
    </w:lvl>
    <w:lvl w:ilvl="1">
      <w:start w:val="1"/>
      <w:numFmt w:val="none"/>
      <w:pStyle w:val="ListParagraph2"/>
      <w:suff w:val="nothing"/>
      <w:lvlText w:val=""/>
      <w:lvlJc w:val="left"/>
      <w:pPr>
        <w:ind w:left="567" w:firstLine="0"/>
      </w:pPr>
      <w:rPr>
        <w:rFonts w:asciiTheme="minorHAnsi" w:hAnsiTheme="minorHAnsi" w:hint="default"/>
        <w:color w:val="auto"/>
      </w:rPr>
    </w:lvl>
    <w:lvl w:ilvl="2">
      <w:start w:val="1"/>
      <w:numFmt w:val="none"/>
      <w:pStyle w:val="ListParagraph3"/>
      <w:suff w:val="nothing"/>
      <w:lvlText w:val=""/>
      <w:lvlJc w:val="left"/>
      <w:pPr>
        <w:ind w:left="851" w:firstLine="0"/>
      </w:pPr>
      <w:rPr>
        <w:rFonts w:asciiTheme="minorHAnsi" w:hAnsiTheme="minorHAnsi" w:hint="default"/>
        <w:color w:val="auto"/>
      </w:rPr>
    </w:lvl>
    <w:lvl w:ilvl="3">
      <w:start w:val="1"/>
      <w:numFmt w:val="none"/>
      <w:pStyle w:val="ListParagraph4"/>
      <w:suff w:val="nothing"/>
      <w:lvlText w:val=""/>
      <w:lvlJc w:val="left"/>
      <w:pPr>
        <w:ind w:left="1134" w:firstLine="0"/>
      </w:pPr>
      <w:rPr>
        <w:rFonts w:asciiTheme="minorHAnsi" w:hAnsiTheme="minorHAnsi" w:hint="default"/>
        <w:color w:val="auto"/>
      </w:rPr>
    </w:lvl>
    <w:lvl w:ilvl="4">
      <w:start w:val="1"/>
      <w:numFmt w:val="none"/>
      <w:pStyle w:val="ListParagraph5"/>
      <w:suff w:val="nothing"/>
      <w:lvlText w:val=""/>
      <w:lvlJc w:val="left"/>
      <w:pPr>
        <w:ind w:left="1418" w:firstLine="0"/>
      </w:pPr>
      <w:rPr>
        <w:rFonts w:asciiTheme="minorHAnsi" w:hAnsiTheme="minorHAnsi" w:hint="default"/>
        <w:color w:val="auto"/>
      </w:rPr>
    </w:lvl>
    <w:lvl w:ilvl="5">
      <w:start w:val="1"/>
      <w:numFmt w:val="none"/>
      <w:pStyle w:val="ListParagraph6"/>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1" w15:restartNumberingAfterBreak="0">
    <w:nsid w:val="02B763B4"/>
    <w:multiLevelType w:val="hybridMultilevel"/>
    <w:tmpl w:val="6EFAC8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7284AE9"/>
    <w:multiLevelType w:val="multilevel"/>
    <w:tmpl w:val="1562CFC6"/>
    <w:styleLink w:val="ListAlpha"/>
    <w:lvl w:ilvl="0">
      <w:start w:val="1"/>
      <w:numFmt w:val="lowerLetter"/>
      <w:pStyle w:val="ListAlpha0"/>
      <w:lvlText w:val="%1."/>
      <w:lvlJc w:val="left"/>
      <w:pPr>
        <w:tabs>
          <w:tab w:val="num" w:pos="567"/>
        </w:tabs>
        <w:ind w:left="567" w:hanging="567"/>
      </w:pPr>
      <w:rPr>
        <w:rFonts w:asciiTheme="minorHAnsi" w:hAnsiTheme="minorHAnsi" w:hint="default"/>
        <w:color w:val="auto"/>
        <w:sz w:val="22"/>
      </w:rPr>
    </w:lvl>
    <w:lvl w:ilvl="1">
      <w:start w:val="1"/>
      <w:numFmt w:val="lowerRoman"/>
      <w:pStyle w:val="ListAlpha2"/>
      <w:lvlText w:val="%2."/>
      <w:lvlJc w:val="left"/>
      <w:pPr>
        <w:tabs>
          <w:tab w:val="num" w:pos="1134"/>
        </w:tabs>
        <w:ind w:left="1134" w:hanging="567"/>
      </w:pPr>
      <w:rPr>
        <w:rFonts w:asciiTheme="minorHAnsi" w:hAnsiTheme="minorHAnsi" w:hint="default"/>
        <w:color w:val="auto"/>
        <w:sz w:val="22"/>
      </w:rPr>
    </w:lvl>
    <w:lvl w:ilvl="2">
      <w:start w:val="1"/>
      <w:numFmt w:val="decimal"/>
      <w:pStyle w:val="ListAlpha3"/>
      <w:lvlText w:val="%3."/>
      <w:lvlJc w:val="left"/>
      <w:pPr>
        <w:tabs>
          <w:tab w:val="num" w:pos="1701"/>
        </w:tabs>
        <w:ind w:left="1701" w:hanging="567"/>
      </w:pPr>
      <w:rPr>
        <w:rFonts w:asciiTheme="minorHAnsi" w:hAnsiTheme="minorHAnsi" w:hint="default"/>
        <w:color w:val="auto"/>
        <w:sz w:val="22"/>
      </w:rPr>
    </w:lvl>
    <w:lvl w:ilvl="3">
      <w:start w:val="1"/>
      <w:numFmt w:val="upperLetter"/>
      <w:pStyle w:val="ListAlpha4"/>
      <w:lvlText w:val="%4."/>
      <w:lvlJc w:val="left"/>
      <w:pPr>
        <w:tabs>
          <w:tab w:val="num" w:pos="2268"/>
        </w:tabs>
        <w:ind w:left="2268" w:hanging="567"/>
      </w:pPr>
      <w:rPr>
        <w:rFonts w:asciiTheme="minorHAnsi" w:hAnsiTheme="minorHAnsi" w:hint="default"/>
        <w:color w:val="auto"/>
        <w:sz w:val="22"/>
      </w:rPr>
    </w:lvl>
    <w:lvl w:ilvl="4">
      <w:start w:val="1"/>
      <w:numFmt w:val="upperRoman"/>
      <w:pStyle w:val="ListAlpha5"/>
      <w:lvlText w:val="%5."/>
      <w:lvlJc w:val="left"/>
      <w:pPr>
        <w:tabs>
          <w:tab w:val="num" w:pos="2835"/>
        </w:tabs>
        <w:ind w:left="2835" w:hanging="567"/>
      </w:pPr>
      <w:rPr>
        <w:rFonts w:asciiTheme="minorHAnsi" w:hAnsiTheme="minorHAnsi" w:hint="default"/>
        <w:color w:val="auto"/>
        <w:sz w:val="22"/>
      </w:rPr>
    </w:lvl>
    <w:lvl w:ilvl="5">
      <w:start w:val="1"/>
      <w:numFmt w:val="decimal"/>
      <w:pStyle w:val="ListAlpha6"/>
      <w:lvlText w:val="%6."/>
      <w:lvlJc w:val="left"/>
      <w:pPr>
        <w:tabs>
          <w:tab w:val="num" w:pos="3402"/>
        </w:tabs>
        <w:ind w:left="3402" w:hanging="567"/>
      </w:pPr>
      <w:rPr>
        <w:rFonts w:asciiTheme="minorHAnsi" w:hAnsiTheme="minorHAnsi" w:hint="default"/>
        <w:color w:val="auto"/>
        <w:sz w:val="22"/>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3" w15:restartNumberingAfterBreak="0">
    <w:nsid w:val="07A914D6"/>
    <w:multiLevelType w:val="multilevel"/>
    <w:tmpl w:val="57C6A4E2"/>
    <w:lvl w:ilvl="0">
      <w:start w:val="3"/>
      <w:numFmt w:val="decimal"/>
      <w:pStyle w:val="ChapterHeading"/>
      <w:lvlText w:val="Chapter %1"/>
      <w:lvlJc w:val="left"/>
      <w:pPr>
        <w:ind w:left="0" w:firstLine="0"/>
      </w:pPr>
      <w:rPr>
        <w:rFonts w:hint="default"/>
        <w:color w:val="324851"/>
        <w:sz w:val="44"/>
      </w:rPr>
    </w:lvl>
    <w:lvl w:ilvl="1">
      <w:start w:val="1"/>
      <w:numFmt w:val="decimal"/>
      <w:pStyle w:val="NbrHeading1"/>
      <w:lvlText w:val="%2"/>
      <w:lvlJc w:val="left"/>
      <w:pPr>
        <w:tabs>
          <w:tab w:val="num" w:pos="1134"/>
        </w:tabs>
        <w:ind w:left="1134" w:hanging="1134"/>
      </w:pPr>
      <w:rPr>
        <w:rFonts w:hint="default"/>
      </w:rPr>
    </w:lvl>
    <w:lvl w:ilvl="2">
      <w:start w:val="1"/>
      <w:numFmt w:val="decimal"/>
      <w:pStyle w:val="NbrHeading2"/>
      <w:lvlText w:val="%2.%3"/>
      <w:lvlJc w:val="left"/>
      <w:pPr>
        <w:tabs>
          <w:tab w:val="num" w:pos="1418"/>
        </w:tabs>
        <w:ind w:left="1418" w:hanging="1134"/>
      </w:pPr>
      <w:rPr>
        <w:rFonts w:hint="default"/>
        <w:color w:val="002060"/>
        <w:sz w:val="24"/>
      </w:rPr>
    </w:lvl>
    <w:lvl w:ilvl="3">
      <w:start w:val="1"/>
      <w:numFmt w:val="decimal"/>
      <w:pStyle w:val="NbrHeading3"/>
      <w:lvlText w:val="%2.%3.%4"/>
      <w:lvlJc w:val="left"/>
      <w:pPr>
        <w:tabs>
          <w:tab w:val="num" w:pos="1134"/>
        </w:tabs>
        <w:ind w:left="1134" w:hanging="1134"/>
      </w:pPr>
      <w:rPr>
        <w:rFonts w:hint="default"/>
      </w:rPr>
    </w:lvl>
    <w:lvl w:ilvl="4">
      <w:start w:val="1"/>
      <w:numFmt w:val="decimal"/>
      <w:pStyle w:val="NbrHeading4"/>
      <w:lvlText w:val="%2.%3.%4.%5"/>
      <w:lvlJc w:val="left"/>
      <w:pPr>
        <w:tabs>
          <w:tab w:val="num" w:pos="1134"/>
        </w:tabs>
        <w:ind w:left="1134" w:hanging="1134"/>
      </w:pPr>
      <w:rPr>
        <w:rFonts w:hint="default"/>
      </w:rPr>
    </w:lvl>
    <w:lvl w:ilvl="5">
      <w:start w:val="1"/>
      <w:numFmt w:val="decimal"/>
      <w:pStyle w:val="NbrHeading5"/>
      <w:lvlText w:val="%2.%3.%4.%5.%6"/>
      <w:lvlJc w:val="left"/>
      <w:pPr>
        <w:tabs>
          <w:tab w:val="num" w:pos="1134"/>
        </w:tabs>
        <w:ind w:left="1134" w:hanging="1134"/>
      </w:pPr>
      <w:rPr>
        <w:rFonts w:hint="default"/>
      </w:rPr>
    </w:lvl>
    <w:lvl w:ilvl="6">
      <w:start w:val="1"/>
      <w:numFmt w:val="decimal"/>
      <w:lvlText w:val="%2.%3.%4.%5.%6.%7"/>
      <w:lvlJc w:val="left"/>
      <w:pPr>
        <w:tabs>
          <w:tab w:val="num" w:pos="1134"/>
        </w:tabs>
        <w:ind w:left="1134" w:hanging="1134"/>
      </w:pPr>
      <w:rPr>
        <w:rFonts w:hint="default"/>
      </w:rPr>
    </w:lvl>
    <w:lvl w:ilvl="7">
      <w:start w:val="1"/>
      <w:numFmt w:val="decimal"/>
      <w:lvlText w:val="%2.%3.%4.%5.%6.%7.%8"/>
      <w:lvlJc w:val="left"/>
      <w:pPr>
        <w:tabs>
          <w:tab w:val="num" w:pos="1134"/>
        </w:tabs>
        <w:ind w:left="1134" w:hanging="1134"/>
      </w:pPr>
      <w:rPr>
        <w:rFonts w:hint="default"/>
      </w:rPr>
    </w:lvl>
    <w:lvl w:ilvl="8">
      <w:start w:val="1"/>
      <w:numFmt w:val="decimal"/>
      <w:lvlText w:val="%2.%3.%4.%5.%6.%7.%8.%9"/>
      <w:lvlJc w:val="left"/>
      <w:pPr>
        <w:tabs>
          <w:tab w:val="num" w:pos="1134"/>
        </w:tabs>
        <w:ind w:left="1134" w:hanging="1134"/>
      </w:pPr>
      <w:rPr>
        <w:rFonts w:hint="default"/>
      </w:rPr>
    </w:lvl>
  </w:abstractNum>
  <w:abstractNum w:abstractNumId="4" w15:restartNumberingAfterBreak="0">
    <w:nsid w:val="09E37269"/>
    <w:multiLevelType w:val="multilevel"/>
    <w:tmpl w:val="BC2A39FC"/>
    <w:lvl w:ilvl="0">
      <w:start w:val="1"/>
      <w:numFmt w:val="decimal"/>
      <w:pStyle w:val="Contentslistheading1"/>
      <w:lvlText w:val="%1."/>
      <w:lvlJc w:val="left"/>
      <w:pPr>
        <w:ind w:left="717" w:hanging="360"/>
      </w:pPr>
      <w:rPr>
        <w:rFonts w:hint="default"/>
      </w:rPr>
    </w:lvl>
    <w:lvl w:ilvl="1">
      <w:start w:val="1"/>
      <w:numFmt w:val="decimal"/>
      <w:isLgl/>
      <w:lvlText w:val="%1.%2"/>
      <w:lvlJc w:val="left"/>
      <w:pPr>
        <w:ind w:left="1089" w:hanging="375"/>
      </w:pPr>
      <w:rPr>
        <w:rFonts w:hint="default"/>
      </w:rPr>
    </w:lvl>
    <w:lvl w:ilvl="2">
      <w:start w:val="1"/>
      <w:numFmt w:val="decimal"/>
      <w:isLgl/>
      <w:lvlText w:val="%1.%2.%3"/>
      <w:lvlJc w:val="left"/>
      <w:pPr>
        <w:ind w:left="1791" w:hanging="720"/>
      </w:pPr>
      <w:rPr>
        <w:rFonts w:hint="default"/>
      </w:rPr>
    </w:lvl>
    <w:lvl w:ilvl="3">
      <w:start w:val="1"/>
      <w:numFmt w:val="decimal"/>
      <w:isLgl/>
      <w:lvlText w:val="%1.%2.%3.%4"/>
      <w:lvlJc w:val="left"/>
      <w:pPr>
        <w:ind w:left="2508" w:hanging="1080"/>
      </w:pPr>
      <w:rPr>
        <w:rFonts w:hint="default"/>
      </w:rPr>
    </w:lvl>
    <w:lvl w:ilvl="4">
      <w:start w:val="1"/>
      <w:numFmt w:val="decimal"/>
      <w:isLgl/>
      <w:lvlText w:val="%1.%2.%3.%4.%5"/>
      <w:lvlJc w:val="left"/>
      <w:pPr>
        <w:ind w:left="2865" w:hanging="1080"/>
      </w:pPr>
      <w:rPr>
        <w:rFonts w:hint="default"/>
      </w:rPr>
    </w:lvl>
    <w:lvl w:ilvl="5">
      <w:start w:val="1"/>
      <w:numFmt w:val="decimal"/>
      <w:isLgl/>
      <w:lvlText w:val="%1.%2.%3.%4.%5.%6"/>
      <w:lvlJc w:val="left"/>
      <w:pPr>
        <w:ind w:left="3582" w:hanging="1440"/>
      </w:pPr>
      <w:rPr>
        <w:rFonts w:hint="default"/>
      </w:rPr>
    </w:lvl>
    <w:lvl w:ilvl="6">
      <w:start w:val="1"/>
      <w:numFmt w:val="decimal"/>
      <w:isLgl/>
      <w:lvlText w:val="%1.%2.%3.%4.%5.%6.%7"/>
      <w:lvlJc w:val="left"/>
      <w:pPr>
        <w:ind w:left="3939" w:hanging="1440"/>
      </w:pPr>
      <w:rPr>
        <w:rFonts w:hint="default"/>
      </w:rPr>
    </w:lvl>
    <w:lvl w:ilvl="7">
      <w:start w:val="1"/>
      <w:numFmt w:val="decimal"/>
      <w:isLgl/>
      <w:lvlText w:val="%1.%2.%3.%4.%5.%6.%7.%8"/>
      <w:lvlJc w:val="left"/>
      <w:pPr>
        <w:ind w:left="4656" w:hanging="1800"/>
      </w:pPr>
      <w:rPr>
        <w:rFonts w:hint="default"/>
      </w:rPr>
    </w:lvl>
    <w:lvl w:ilvl="8">
      <w:start w:val="1"/>
      <w:numFmt w:val="decimal"/>
      <w:isLgl/>
      <w:lvlText w:val="%1.%2.%3.%4.%5.%6.%7.%8.%9"/>
      <w:lvlJc w:val="left"/>
      <w:pPr>
        <w:ind w:left="5373" w:hanging="2160"/>
      </w:pPr>
      <w:rPr>
        <w:rFonts w:hint="default"/>
      </w:rPr>
    </w:lvl>
  </w:abstractNum>
  <w:abstractNum w:abstractNumId="5" w15:restartNumberingAfterBreak="0">
    <w:nsid w:val="0CCD4DAA"/>
    <w:multiLevelType w:val="multilevel"/>
    <w:tmpl w:val="59A6B200"/>
    <w:styleLink w:val="ListTableBullet"/>
    <w:lvl w:ilvl="0">
      <w:start w:val="1"/>
      <w:numFmt w:val="bullet"/>
      <w:pStyle w:val="TableBullet"/>
      <w:lvlText w:val=""/>
      <w:lvlJc w:val="left"/>
      <w:pPr>
        <w:tabs>
          <w:tab w:val="num" w:pos="397"/>
        </w:tabs>
        <w:ind w:left="397" w:hanging="284"/>
      </w:pPr>
      <w:rPr>
        <w:rFonts w:ascii="Wingdings" w:hAnsi="Wingdings" w:hint="default"/>
        <w:color w:val="auto"/>
        <w:sz w:val="20"/>
      </w:rPr>
    </w:lvl>
    <w:lvl w:ilvl="1">
      <w:start w:val="1"/>
      <w:numFmt w:val="bullet"/>
      <w:pStyle w:val="TableBullet2"/>
      <w:lvlText w:val="–"/>
      <w:lvlJc w:val="left"/>
      <w:pPr>
        <w:tabs>
          <w:tab w:val="num" w:pos="680"/>
        </w:tabs>
        <w:ind w:left="680" w:hanging="283"/>
      </w:pPr>
      <w:rPr>
        <w:rFonts w:ascii="Arial" w:hAnsi="Arial" w:hint="default"/>
        <w:color w:val="auto"/>
        <w:sz w:val="20"/>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6" w15:restartNumberingAfterBreak="0">
    <w:nsid w:val="0FB97078"/>
    <w:multiLevelType w:val="multilevel"/>
    <w:tmpl w:val="D8CC95A2"/>
    <w:styleLink w:val="ListChapter"/>
    <w:lvl w:ilvl="0">
      <w:start w:val="1"/>
      <w:numFmt w:val="decimal"/>
      <w:suff w:val="nothing"/>
      <w:lvlText w:val="Chapter %1"/>
      <w:lvlJc w:val="left"/>
      <w:pPr>
        <w:ind w:left="0" w:firstLine="0"/>
      </w:pPr>
      <w:rPr>
        <w:rFonts w:hint="default"/>
        <w:color w:val="324851" w:themeColor="accent1"/>
        <w:sz w:val="44"/>
      </w:rPr>
    </w:lvl>
    <w:lvl w:ilvl="1">
      <w:start w:val="1"/>
      <w:numFmt w:val="none"/>
      <w:suff w:val="nothing"/>
      <w:lvlText w:val=""/>
      <w:lvlJc w:val="left"/>
      <w:pPr>
        <w:ind w:left="0" w:hanging="32766"/>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68D4A13"/>
    <w:multiLevelType w:val="multilevel"/>
    <w:tmpl w:val="59A6B200"/>
    <w:numStyleLink w:val="ListTableBullet"/>
  </w:abstractNum>
  <w:abstractNum w:abstractNumId="8" w15:restartNumberingAfterBreak="0">
    <w:nsid w:val="1723402A"/>
    <w:multiLevelType w:val="multilevel"/>
    <w:tmpl w:val="A4A86740"/>
    <w:lvl w:ilvl="0">
      <w:start w:val="1"/>
      <w:numFmt w:val="none"/>
      <w:pStyle w:val="9TableText"/>
      <w:lvlText w:val=""/>
      <w:lvlJc w:val="left"/>
      <w:pPr>
        <w:tabs>
          <w:tab w:val="num" w:pos="0"/>
        </w:tabs>
        <w:ind w:left="0" w:firstLine="0"/>
      </w:pPr>
    </w:lvl>
    <w:lvl w:ilvl="1">
      <w:start w:val="1"/>
      <w:numFmt w:val="decimal"/>
      <w:pStyle w:val="9aTableHeading"/>
      <w:lvlText w:val="%2%1."/>
      <w:lvlJc w:val="left"/>
      <w:pPr>
        <w:tabs>
          <w:tab w:val="num" w:pos="284"/>
        </w:tabs>
        <w:ind w:left="567" w:hanging="283"/>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15:restartNumberingAfterBreak="0">
    <w:nsid w:val="17FC5B12"/>
    <w:multiLevelType w:val="hybridMultilevel"/>
    <w:tmpl w:val="089CC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C8519F"/>
    <w:multiLevelType w:val="hybridMultilevel"/>
    <w:tmpl w:val="7EFAB6DC"/>
    <w:lvl w:ilvl="0" w:tplc="0C090001">
      <w:start w:val="1"/>
      <w:numFmt w:val="bullet"/>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21893080"/>
    <w:multiLevelType w:val="hybridMultilevel"/>
    <w:tmpl w:val="B3484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9273FC"/>
    <w:multiLevelType w:val="multilevel"/>
    <w:tmpl w:val="71203F7E"/>
    <w:name w:val="Headings2"/>
    <w:lvl w:ilvl="0">
      <w:start w:val="1"/>
      <w:numFmt w:val="decimal"/>
      <w:lvlText w:val="Chapter %1"/>
      <w:lvlJc w:val="left"/>
      <w:pPr>
        <w:ind w:left="0" w:firstLine="0"/>
      </w:pPr>
    </w:lvl>
    <w:lvl w:ilvl="1">
      <w:start w:val="1"/>
      <w:numFmt w:val="decimal"/>
      <w:lvlText w:val="%2"/>
      <w:lvlJc w:val="left"/>
      <w:pPr>
        <w:tabs>
          <w:tab w:val="num" w:pos="1134"/>
        </w:tabs>
        <w:ind w:left="1134" w:hanging="1134"/>
      </w:pPr>
    </w:lvl>
    <w:lvl w:ilvl="2">
      <w:start w:val="1"/>
      <w:numFmt w:val="decimal"/>
      <w:lvlText w:val="%2.%3"/>
      <w:lvlJc w:val="left"/>
      <w:pPr>
        <w:tabs>
          <w:tab w:val="num" w:pos="1134"/>
        </w:tabs>
        <w:ind w:left="1134" w:hanging="1134"/>
      </w:pPr>
    </w:lvl>
    <w:lvl w:ilvl="3">
      <w:start w:val="1"/>
      <w:numFmt w:val="decimal"/>
      <w:lvlText w:val="%2.%3.%4"/>
      <w:lvlJc w:val="left"/>
      <w:pPr>
        <w:tabs>
          <w:tab w:val="num" w:pos="1134"/>
        </w:tabs>
        <w:ind w:left="1134" w:hanging="1134"/>
      </w:pPr>
    </w:lvl>
    <w:lvl w:ilvl="4">
      <w:start w:val="1"/>
      <w:numFmt w:val="decimal"/>
      <w:lvlText w:val="%2.%3.%4.%5"/>
      <w:lvlJc w:val="left"/>
      <w:pPr>
        <w:tabs>
          <w:tab w:val="num" w:pos="1134"/>
        </w:tabs>
        <w:ind w:left="1134" w:hanging="1134"/>
      </w:pPr>
    </w:lvl>
    <w:lvl w:ilvl="5">
      <w:start w:val="1"/>
      <w:numFmt w:val="decimal"/>
      <w:lvlText w:val="%2.%3.%4.%5.%6"/>
      <w:lvlJc w:val="left"/>
      <w:pPr>
        <w:tabs>
          <w:tab w:val="num" w:pos="1134"/>
        </w:tabs>
        <w:ind w:left="1134" w:hanging="1134"/>
      </w:pPr>
    </w:lvl>
    <w:lvl w:ilvl="6">
      <w:start w:val="1"/>
      <w:numFmt w:val="decimal"/>
      <w:lvlText w:val="%2.%3.%4.%5.%6.%7"/>
      <w:lvlJc w:val="left"/>
      <w:pPr>
        <w:tabs>
          <w:tab w:val="num" w:pos="1134"/>
        </w:tabs>
        <w:ind w:left="1134" w:hanging="1134"/>
      </w:pPr>
    </w:lvl>
    <w:lvl w:ilvl="7">
      <w:start w:val="1"/>
      <w:numFmt w:val="decimal"/>
      <w:lvlText w:val="%2.%3.%4.%5.%6.%7.%8"/>
      <w:lvlJc w:val="left"/>
      <w:pPr>
        <w:tabs>
          <w:tab w:val="num" w:pos="1134"/>
        </w:tabs>
        <w:ind w:left="1134" w:hanging="1134"/>
      </w:pPr>
    </w:lvl>
    <w:lvl w:ilvl="8">
      <w:start w:val="1"/>
      <w:numFmt w:val="decimal"/>
      <w:lvlText w:val="%2.%3.%4.%5.%6.%7.%8.%9"/>
      <w:lvlJc w:val="left"/>
      <w:pPr>
        <w:tabs>
          <w:tab w:val="num" w:pos="1134"/>
        </w:tabs>
        <w:ind w:left="1134" w:hanging="1134"/>
      </w:pPr>
    </w:lvl>
  </w:abstractNum>
  <w:abstractNum w:abstractNumId="13" w15:restartNumberingAfterBreak="0">
    <w:nsid w:val="22C461C2"/>
    <w:multiLevelType w:val="hybridMultilevel"/>
    <w:tmpl w:val="B86CB340"/>
    <w:lvl w:ilvl="0" w:tplc="C010AEA4">
      <w:start w:val="1"/>
      <w:numFmt w:val="bullet"/>
      <w:lvlText w:val=""/>
      <w:lvlJc w:val="left"/>
      <w:pPr>
        <w:tabs>
          <w:tab w:val="num" w:pos="720"/>
        </w:tabs>
        <w:ind w:left="720" w:hanging="360"/>
      </w:pPr>
      <w:rPr>
        <w:rFonts w:ascii="Wingdings" w:hAnsi="Wingdings" w:hint="default"/>
      </w:rPr>
    </w:lvl>
    <w:lvl w:ilvl="1" w:tplc="56462A84">
      <w:start w:val="1"/>
      <w:numFmt w:val="bullet"/>
      <w:pStyle w:val="BodyBullet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741D40"/>
    <w:multiLevelType w:val="multilevel"/>
    <w:tmpl w:val="DB70D304"/>
    <w:styleLink w:val="ListNumber"/>
    <w:lvl w:ilvl="0">
      <w:start w:val="1"/>
      <w:numFmt w:val="decimal"/>
      <w:pStyle w:val="ListNumber0"/>
      <w:lvlText w:val="%1."/>
      <w:lvlJc w:val="left"/>
      <w:pPr>
        <w:tabs>
          <w:tab w:val="num" w:pos="567"/>
        </w:tabs>
        <w:ind w:left="567" w:hanging="567"/>
      </w:pPr>
      <w:rPr>
        <w:rFonts w:asciiTheme="minorHAnsi" w:hAnsiTheme="minorHAns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134"/>
        </w:tabs>
        <w:ind w:left="1134" w:hanging="567"/>
      </w:pPr>
      <w:rPr>
        <w:rFonts w:asciiTheme="minorHAnsi" w:hAnsiTheme="minorHAnsi" w:hint="default"/>
        <w:b w:val="0"/>
        <w:i w:val="0"/>
        <w:color w:val="auto"/>
        <w:sz w:val="22"/>
      </w:rPr>
    </w:lvl>
    <w:lvl w:ilvl="2">
      <w:start w:val="1"/>
      <w:numFmt w:val="lowerRoman"/>
      <w:pStyle w:val="ListNumber3"/>
      <w:lvlText w:val="%3."/>
      <w:lvlJc w:val="left"/>
      <w:pPr>
        <w:tabs>
          <w:tab w:val="num" w:pos="1701"/>
        </w:tabs>
        <w:ind w:left="1701" w:hanging="567"/>
      </w:pPr>
      <w:rPr>
        <w:rFonts w:asciiTheme="minorHAnsi" w:hAnsiTheme="minorHAnsi" w:hint="default"/>
        <w:b w:val="0"/>
        <w:i w:val="0"/>
        <w:color w:val="auto"/>
        <w:sz w:val="22"/>
      </w:rPr>
    </w:lvl>
    <w:lvl w:ilvl="3">
      <w:start w:val="1"/>
      <w:numFmt w:val="upperLetter"/>
      <w:pStyle w:val="ListNumber4"/>
      <w:lvlText w:val="%4."/>
      <w:lvlJc w:val="left"/>
      <w:pPr>
        <w:tabs>
          <w:tab w:val="num" w:pos="2268"/>
        </w:tabs>
        <w:ind w:left="2268" w:hanging="567"/>
      </w:pPr>
      <w:rPr>
        <w:rFonts w:asciiTheme="minorHAnsi" w:hAnsiTheme="minorHAnsi" w:hint="default"/>
        <w:b w:val="0"/>
        <w:i w:val="0"/>
        <w:color w:val="auto"/>
        <w:sz w:val="22"/>
      </w:rPr>
    </w:lvl>
    <w:lvl w:ilvl="4">
      <w:start w:val="1"/>
      <w:numFmt w:val="upperRoman"/>
      <w:pStyle w:val="ListNumber5"/>
      <w:lvlText w:val="%5."/>
      <w:lvlJc w:val="left"/>
      <w:pPr>
        <w:tabs>
          <w:tab w:val="num" w:pos="2835"/>
        </w:tabs>
        <w:ind w:left="2835" w:hanging="567"/>
      </w:pPr>
      <w:rPr>
        <w:rFonts w:asciiTheme="minorHAnsi" w:hAnsiTheme="minorHAnsi" w:hint="default"/>
        <w:b w:val="0"/>
        <w:i w:val="0"/>
        <w:color w:val="auto"/>
        <w:sz w:val="22"/>
      </w:rPr>
    </w:lvl>
    <w:lvl w:ilvl="5">
      <w:start w:val="1"/>
      <w:numFmt w:val="decimal"/>
      <w:pStyle w:val="ListNumber6"/>
      <w:lvlText w:val="%6."/>
      <w:lvlJc w:val="left"/>
      <w:pPr>
        <w:tabs>
          <w:tab w:val="num" w:pos="3402"/>
        </w:tabs>
        <w:ind w:left="3402" w:hanging="567"/>
      </w:pPr>
      <w:rPr>
        <w:rFonts w:asciiTheme="minorHAnsi" w:hAnsiTheme="minorHAnsi" w:hint="default"/>
        <w:b w:val="0"/>
        <w:i w:val="0"/>
        <w:color w:val="auto"/>
        <w:sz w:val="22"/>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15" w15:restartNumberingAfterBreak="0">
    <w:nsid w:val="261A5FF3"/>
    <w:multiLevelType w:val="hybridMultilevel"/>
    <w:tmpl w:val="618CA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5B5392"/>
    <w:multiLevelType w:val="multilevel"/>
    <w:tmpl w:val="960CDAFC"/>
    <w:numStyleLink w:val="ListTableNumber"/>
  </w:abstractNum>
  <w:abstractNum w:abstractNumId="17" w15:restartNumberingAfterBreak="0">
    <w:nsid w:val="28AB59D5"/>
    <w:multiLevelType w:val="hybridMultilevel"/>
    <w:tmpl w:val="ED0A1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CC7C1F"/>
    <w:multiLevelType w:val="hybridMultilevel"/>
    <w:tmpl w:val="974484F2"/>
    <w:lvl w:ilvl="0" w:tplc="AC26D7D8">
      <w:start w:val="1"/>
      <w:numFmt w:val="bullet"/>
      <w:pStyle w:val="BQBullet"/>
      <w:lvlText w:val=""/>
      <w:lvlJc w:val="left"/>
      <w:pPr>
        <w:ind w:left="360" w:hanging="360"/>
      </w:pPr>
      <w:rPr>
        <w:rFonts w:ascii="Wingdings" w:hAnsi="Wingdings" w:hint="default"/>
      </w:rPr>
    </w:lvl>
    <w:lvl w:ilvl="1" w:tplc="C1AA5004">
      <w:start w:val="1"/>
      <w:numFmt w:val="bullet"/>
      <w:pStyle w:val="BQbullet2"/>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C1AA5004">
      <w:start w:val="1"/>
      <w:numFmt w:val="bullet"/>
      <w:lvlText w:val="­"/>
      <w:lvlJc w:val="left"/>
      <w:pPr>
        <w:ind w:left="2520" w:hanging="360"/>
      </w:pPr>
      <w:rPr>
        <w:rFonts w:ascii="Courier New" w:hAnsi="Courier New" w:hint="default"/>
      </w:rPr>
    </w:lvl>
    <w:lvl w:ilvl="4" w:tplc="C1AA5004">
      <w:start w:val="1"/>
      <w:numFmt w:val="bullet"/>
      <w:lvlText w:val="­"/>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F052055"/>
    <w:multiLevelType w:val="hybridMultilevel"/>
    <w:tmpl w:val="F38A782C"/>
    <w:lvl w:ilvl="0" w:tplc="0C090001">
      <w:start w:val="1"/>
      <w:numFmt w:val="bullet"/>
      <w:lvlText w:val=""/>
      <w:lvlJc w:val="left"/>
      <w:pPr>
        <w:ind w:left="720" w:hanging="360"/>
      </w:pPr>
      <w:rPr>
        <w:rFonts w:ascii="Symbol" w:hAnsi="Symbol"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0031D17"/>
    <w:multiLevelType w:val="hybridMultilevel"/>
    <w:tmpl w:val="4EE63FE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1" w15:restartNumberingAfterBreak="0">
    <w:nsid w:val="3111247B"/>
    <w:multiLevelType w:val="hybridMultilevel"/>
    <w:tmpl w:val="976EDD66"/>
    <w:lvl w:ilvl="0" w:tplc="24E27204">
      <w:numFmt w:val="bullet"/>
      <w:lvlText w:val="-"/>
      <w:lvlJc w:val="left"/>
      <w:pPr>
        <w:ind w:left="720" w:hanging="360"/>
      </w:pPr>
      <w:rPr>
        <w:rFonts w:ascii="Public Sans" w:eastAsia="Times New Roman" w:hAnsi="Public San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2396325"/>
    <w:multiLevelType w:val="hybridMultilevel"/>
    <w:tmpl w:val="FB9E7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4E503A9"/>
    <w:multiLevelType w:val="hybridMultilevel"/>
    <w:tmpl w:val="71509972"/>
    <w:lvl w:ilvl="0" w:tplc="190E9750">
      <w:start w:val="1"/>
      <w:numFmt w:val="bullet"/>
      <w:pStyle w:val="Bulletpoints"/>
      <w:lvlText w:val=""/>
      <w:lvlJc w:val="left"/>
      <w:pPr>
        <w:ind w:left="720" w:hanging="360"/>
      </w:pPr>
      <w:rPr>
        <w:rFonts w:ascii="Symbol" w:hAnsi="Symbol" w:hint="default"/>
        <w:color w:val="003E7E"/>
      </w:rPr>
    </w:lvl>
    <w:lvl w:ilvl="1" w:tplc="C11E1C3C">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53912ED"/>
    <w:multiLevelType w:val="multilevel"/>
    <w:tmpl w:val="D3BC7B6E"/>
    <w:styleLink w:val="ListBullet"/>
    <w:lvl w:ilvl="0">
      <w:start w:val="1"/>
      <w:numFmt w:val="bullet"/>
      <w:pStyle w:val="ListBullet0"/>
      <w:lvlText w:val=""/>
      <w:lvlJc w:val="left"/>
      <w:pPr>
        <w:tabs>
          <w:tab w:val="num" w:pos="284"/>
        </w:tabs>
        <w:ind w:left="284" w:hanging="284"/>
      </w:pPr>
      <w:rPr>
        <w:rFonts w:ascii="Wingdings" w:hAnsi="Wingdings" w:hint="default"/>
        <w:b w:val="0"/>
        <w:i w:val="0"/>
        <w:color w:val="auto"/>
        <w:sz w:val="22"/>
        <w:szCs w:val="20"/>
      </w:rPr>
    </w:lvl>
    <w:lvl w:ilvl="1">
      <w:start w:val="1"/>
      <w:numFmt w:val="bullet"/>
      <w:pStyle w:val="ListBullet2"/>
      <w:lvlText w:val="–"/>
      <w:lvlJc w:val="left"/>
      <w:pPr>
        <w:tabs>
          <w:tab w:val="num" w:pos="567"/>
        </w:tabs>
        <w:ind w:left="567" w:hanging="283"/>
      </w:pPr>
      <w:rPr>
        <w:rFonts w:asciiTheme="minorHAnsi" w:hAnsiTheme="minorHAnsi" w:hint="default"/>
        <w:caps w:val="0"/>
        <w:strike w:val="0"/>
        <w:dstrike w:val="0"/>
        <w:vanish w:val="0"/>
        <w:color w:val="auto"/>
        <w:sz w:val="22"/>
        <w:u w:val="none"/>
        <w:vertAlign w:val="baseline"/>
      </w:rPr>
    </w:lvl>
    <w:lvl w:ilvl="2">
      <w:start w:val="1"/>
      <w:numFmt w:val="bullet"/>
      <w:pStyle w:val="ListBullet3"/>
      <w:lvlText w:val="□"/>
      <w:lvlJc w:val="left"/>
      <w:pPr>
        <w:tabs>
          <w:tab w:val="num" w:pos="851"/>
        </w:tabs>
        <w:ind w:left="851" w:hanging="284"/>
      </w:pPr>
      <w:rPr>
        <w:rFonts w:ascii="Calibri Light" w:hAnsi="Calibri Light" w:hint="default"/>
        <w:color w:val="auto"/>
        <w:sz w:val="22"/>
      </w:rPr>
    </w:lvl>
    <w:lvl w:ilvl="3">
      <w:start w:val="1"/>
      <w:numFmt w:val="bullet"/>
      <w:pStyle w:val="ListBullet4"/>
      <w:lvlText w:val="–"/>
      <w:lvlJc w:val="left"/>
      <w:pPr>
        <w:tabs>
          <w:tab w:val="num" w:pos="1134"/>
        </w:tabs>
        <w:ind w:left="1134" w:hanging="283"/>
      </w:pPr>
      <w:rPr>
        <w:rFonts w:asciiTheme="minorHAnsi" w:hAnsiTheme="minorHAnsi" w:hint="default"/>
        <w:caps w:val="0"/>
        <w:strike w:val="0"/>
        <w:dstrike w:val="0"/>
        <w:vanish w:val="0"/>
        <w:color w:val="auto"/>
        <w:sz w:val="22"/>
        <w:u w:val="none"/>
        <w:vertAlign w:val="baseline"/>
      </w:rPr>
    </w:lvl>
    <w:lvl w:ilvl="4">
      <w:start w:val="1"/>
      <w:numFmt w:val="bullet"/>
      <w:pStyle w:val="ListBullet5"/>
      <w:lvlText w:val=""/>
      <w:lvlJc w:val="left"/>
      <w:pPr>
        <w:tabs>
          <w:tab w:val="num" w:pos="1418"/>
        </w:tabs>
        <w:ind w:left="1418" w:hanging="284"/>
      </w:pPr>
      <w:rPr>
        <w:rFonts w:ascii="Wingdings" w:hAnsi="Wingdings" w:hint="default"/>
        <w:color w:val="auto"/>
        <w:sz w:val="22"/>
      </w:rPr>
    </w:lvl>
    <w:lvl w:ilvl="5">
      <w:start w:val="1"/>
      <w:numFmt w:val="bullet"/>
      <w:pStyle w:val="ListBullet6"/>
      <w:lvlText w:val="–"/>
      <w:lvlJc w:val="left"/>
      <w:pPr>
        <w:tabs>
          <w:tab w:val="num" w:pos="1701"/>
        </w:tabs>
        <w:ind w:left="1701" w:hanging="283"/>
      </w:pPr>
      <w:rPr>
        <w:rFonts w:asciiTheme="minorHAnsi" w:hAnsiTheme="minorHAnsi" w:cs="Times New Roman" w:hint="default"/>
        <w:caps w:val="0"/>
        <w:strike w:val="0"/>
        <w:dstrike w:val="0"/>
        <w:vanish w:val="0"/>
        <w:color w:val="auto"/>
        <w:sz w:val="22"/>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25" w15:restartNumberingAfterBreak="0">
    <w:nsid w:val="388E5146"/>
    <w:multiLevelType w:val="hybridMultilevel"/>
    <w:tmpl w:val="3920F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0071FAE"/>
    <w:multiLevelType w:val="multilevel"/>
    <w:tmpl w:val="9A509B6C"/>
    <w:styleLink w:val="ListNumberedHeadings"/>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324851" w:themeColor="accent1"/>
      </w:rPr>
    </w:lvl>
    <w:lvl w:ilvl="2">
      <w:start w:val="1"/>
      <w:numFmt w:val="decimal"/>
      <w:lvlText w:val="%1.%2.%3"/>
      <w:lvlJc w:val="left"/>
      <w:pPr>
        <w:tabs>
          <w:tab w:val="num" w:pos="1134"/>
        </w:tabs>
        <w:ind w:left="1134" w:hanging="1134"/>
      </w:pPr>
      <w:rPr>
        <w:rFonts w:asciiTheme="majorHAnsi" w:hAnsiTheme="majorHAnsi" w:hint="default"/>
        <w:color w:val="324851" w:themeColor="accent1"/>
      </w:rPr>
    </w:lvl>
    <w:lvl w:ilvl="3">
      <w:start w:val="1"/>
      <w:numFmt w:val="decimal"/>
      <w:lvlText w:val="%1.%2.%3.%4"/>
      <w:lvlJc w:val="left"/>
      <w:pPr>
        <w:tabs>
          <w:tab w:val="num" w:pos="1134"/>
        </w:tabs>
        <w:ind w:left="1134" w:hanging="1134"/>
      </w:pPr>
      <w:rPr>
        <w:rFonts w:asciiTheme="majorHAnsi" w:hAnsiTheme="majorHAnsi" w:hint="default"/>
        <w:color w:val="122872" w:themeColor="accent3"/>
        <w:sz w:val="24"/>
      </w:rPr>
    </w:lvl>
    <w:lvl w:ilvl="4">
      <w:start w:val="1"/>
      <w:numFmt w:val="decimal"/>
      <w:lvlText w:val="%1.%2.%3.%4.%5"/>
      <w:lvlJc w:val="left"/>
      <w:pPr>
        <w:tabs>
          <w:tab w:val="num" w:pos="1134"/>
        </w:tabs>
        <w:ind w:left="1134" w:hanging="1134"/>
      </w:pPr>
      <w:rPr>
        <w:rFonts w:asciiTheme="majorHAnsi" w:hAnsiTheme="majorHAnsi" w:hint="default"/>
        <w:color w:val="122872" w:themeColor="accent3"/>
        <w:sz w:val="22"/>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7" w15:restartNumberingAfterBreak="0">
    <w:nsid w:val="41F925DB"/>
    <w:multiLevelType w:val="hybridMultilevel"/>
    <w:tmpl w:val="B83C4DB2"/>
    <w:lvl w:ilvl="0" w:tplc="0C090001">
      <w:start w:val="1"/>
      <w:numFmt w:val="bullet"/>
      <w:lvlText w:val=""/>
      <w:lvlJc w:val="left"/>
      <w:pPr>
        <w:ind w:left="720" w:hanging="360"/>
      </w:pPr>
      <w:rPr>
        <w:rFonts w:ascii="Symbol" w:hAnsi="Symbol"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33225E2"/>
    <w:multiLevelType w:val="hybridMultilevel"/>
    <w:tmpl w:val="EFA8A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4C86130"/>
    <w:multiLevelType w:val="multilevel"/>
    <w:tmpl w:val="E4CC21BE"/>
    <w:lvl w:ilvl="0">
      <w:start w:val="1"/>
      <w:numFmt w:val="decimal"/>
      <w:pStyle w:val="BQHeading1"/>
      <w:lvlText w:val="%1."/>
      <w:lvlJc w:val="left"/>
      <w:pPr>
        <w:ind w:left="851" w:hanging="851"/>
      </w:pPr>
      <w:rPr>
        <w:rFonts w:hint="default"/>
      </w:rPr>
    </w:lvl>
    <w:lvl w:ilvl="1">
      <w:start w:val="1"/>
      <w:numFmt w:val="decimal"/>
      <w:pStyle w:val="BQHeading2"/>
      <w:lvlText w:val="%1.%2."/>
      <w:lvlJc w:val="left"/>
      <w:pPr>
        <w:ind w:left="3829" w:hanging="851"/>
      </w:pPr>
      <w:rPr>
        <w:rFonts w:hint="default"/>
      </w:rPr>
    </w:lvl>
    <w:lvl w:ilvl="2">
      <w:start w:val="1"/>
      <w:numFmt w:val="decimal"/>
      <w:pStyle w:val="BQHeading3"/>
      <w:lvlText w:val="%1.%2.%3."/>
      <w:lvlJc w:val="left"/>
      <w:pPr>
        <w:ind w:left="3260"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8011657"/>
    <w:multiLevelType w:val="multilevel"/>
    <w:tmpl w:val="E59AE5F8"/>
    <w:styleLink w:val="ListAppendix"/>
    <w:lvl w:ilvl="0">
      <w:start w:val="1"/>
      <w:numFmt w:val="upperLetter"/>
      <w:pStyle w:val="AppendixTitle"/>
      <w:lvlText w:val="Appendix %1"/>
      <w:lvlJc w:val="left"/>
      <w:pPr>
        <w:tabs>
          <w:tab w:val="num" w:pos="3402"/>
        </w:tabs>
        <w:ind w:left="3402" w:hanging="3402"/>
      </w:pPr>
      <w:rPr>
        <w:rFonts w:hint="default"/>
      </w:rPr>
    </w:lvl>
    <w:lvl w:ilvl="1">
      <w:start w:val="1"/>
      <w:numFmt w:val="none"/>
      <w:suff w:val="nothing"/>
      <w:lvlText w:val=""/>
      <w:lvlJc w:val="left"/>
      <w:pPr>
        <w:ind w:left="-32767"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31" w15:restartNumberingAfterBreak="0">
    <w:nsid w:val="48214E1F"/>
    <w:multiLevelType w:val="hybridMultilevel"/>
    <w:tmpl w:val="61A8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061189"/>
    <w:multiLevelType w:val="hybridMultilevel"/>
    <w:tmpl w:val="DC1CC1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AD764AE"/>
    <w:multiLevelType w:val="hybridMultilevel"/>
    <w:tmpl w:val="8952A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1F910B1"/>
    <w:multiLevelType w:val="hybridMultilevel"/>
    <w:tmpl w:val="BDBEB646"/>
    <w:lvl w:ilvl="0" w:tplc="3CE45B34">
      <w:start w:val="1"/>
      <w:numFmt w:val="upperLetter"/>
      <w:pStyle w:val="BQsection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4C01E3E"/>
    <w:multiLevelType w:val="hybridMultilevel"/>
    <w:tmpl w:val="CF744822"/>
    <w:lvl w:ilvl="0" w:tplc="CF80D8B2">
      <w:start w:val="1"/>
      <w:numFmt w:val="decimal"/>
      <w:pStyle w:val="BQnumberedbullet"/>
      <w:lvlText w:val="%1."/>
      <w:lvlJc w:val="left"/>
      <w:pPr>
        <w:ind w:left="360" w:hanging="360"/>
      </w:pPr>
    </w:lvl>
    <w:lvl w:ilvl="1" w:tplc="0C090003" w:tentative="1">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36" w15:restartNumberingAfterBreak="0">
    <w:nsid w:val="55777811"/>
    <w:multiLevelType w:val="hybridMultilevel"/>
    <w:tmpl w:val="A9C6AC34"/>
    <w:lvl w:ilvl="0" w:tplc="E4284DE2">
      <w:start w:val="1"/>
      <w:numFmt w:val="bullet"/>
      <w:pStyle w:val="A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8C12329"/>
    <w:multiLevelType w:val="hybridMultilevel"/>
    <w:tmpl w:val="207EE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1804409"/>
    <w:multiLevelType w:val="hybridMultilevel"/>
    <w:tmpl w:val="801C4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1D56460"/>
    <w:multiLevelType w:val="hybridMultilevel"/>
    <w:tmpl w:val="20C80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26E5373"/>
    <w:multiLevelType w:val="multilevel"/>
    <w:tmpl w:val="960CDAFC"/>
    <w:styleLink w:val="ListTableNumber"/>
    <w:lvl w:ilvl="0">
      <w:start w:val="1"/>
      <w:numFmt w:val="decimal"/>
      <w:pStyle w:val="TableNumber"/>
      <w:lvlText w:val="%1."/>
      <w:lvlJc w:val="left"/>
      <w:pPr>
        <w:tabs>
          <w:tab w:val="num" w:pos="397"/>
        </w:tabs>
        <w:ind w:left="397" w:hanging="284"/>
      </w:pPr>
      <w:rPr>
        <w:rFonts w:asciiTheme="minorHAnsi" w:hAnsiTheme="minorHAnsi" w:hint="default"/>
        <w:b w:val="0"/>
        <w:i w:val="0"/>
        <w:color w:val="auto"/>
        <w:sz w:val="20"/>
        <w:szCs w:val="21"/>
      </w:rPr>
    </w:lvl>
    <w:lvl w:ilvl="1">
      <w:start w:val="1"/>
      <w:numFmt w:val="lowerLetter"/>
      <w:pStyle w:val="TableNumber2"/>
      <w:lvlText w:val="%2."/>
      <w:lvlJc w:val="left"/>
      <w:pPr>
        <w:tabs>
          <w:tab w:val="num" w:pos="680"/>
        </w:tabs>
        <w:ind w:left="680" w:hanging="283"/>
      </w:pPr>
      <w:rPr>
        <w:rFonts w:asciiTheme="minorHAnsi" w:hAnsiTheme="minorHAnsi" w:hint="default"/>
        <w:b w:val="0"/>
        <w:i w:val="0"/>
        <w:color w:val="auto"/>
        <w:sz w:val="20"/>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41" w15:restartNumberingAfterBreak="0">
    <w:nsid w:val="63B55FB9"/>
    <w:multiLevelType w:val="hybridMultilevel"/>
    <w:tmpl w:val="2AF08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580324F"/>
    <w:multiLevelType w:val="hybridMultilevel"/>
    <w:tmpl w:val="D9A669F8"/>
    <w:lvl w:ilvl="0" w:tplc="B7F6F5CC">
      <w:start w:val="1"/>
      <w:numFmt w:val="upperLetter"/>
      <w:pStyle w:val="BQletteredbulle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6CF4EC4"/>
    <w:multiLevelType w:val="hybridMultilevel"/>
    <w:tmpl w:val="E7F0A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7476A8B"/>
    <w:multiLevelType w:val="hybridMultilevel"/>
    <w:tmpl w:val="40789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7894C25"/>
    <w:multiLevelType w:val="hybridMultilevel"/>
    <w:tmpl w:val="C2D888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6" w15:restartNumberingAfterBreak="0">
    <w:nsid w:val="6A6908A4"/>
    <w:multiLevelType w:val="hybridMultilevel"/>
    <w:tmpl w:val="3D1A8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C5F4229"/>
    <w:multiLevelType w:val="hybridMultilevel"/>
    <w:tmpl w:val="44445AE4"/>
    <w:lvl w:ilvl="0" w:tplc="6028342A">
      <w:start w:val="1"/>
      <w:numFmt w:val="decimal"/>
      <w:lvlText w:val="%1."/>
      <w:lvlJc w:val="left"/>
      <w:pPr>
        <w:ind w:left="720" w:hanging="360"/>
      </w:pPr>
      <w:rPr>
        <w:rFonts w:hint="default"/>
        <w:sz w:val="3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67078B8"/>
    <w:multiLevelType w:val="hybridMultilevel"/>
    <w:tmpl w:val="1BA25D2A"/>
    <w:lvl w:ilvl="0" w:tplc="0C090001">
      <w:start w:val="1"/>
      <w:numFmt w:val="bullet"/>
      <w:lvlText w:val=""/>
      <w:lvlJc w:val="left"/>
      <w:pPr>
        <w:ind w:left="720" w:hanging="360"/>
      </w:pPr>
      <w:rPr>
        <w:rFonts w:ascii="Symbol" w:hAnsi="Symbol"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77CC31DC"/>
    <w:multiLevelType w:val="hybridMultilevel"/>
    <w:tmpl w:val="2286C506"/>
    <w:lvl w:ilvl="0" w:tplc="0C090001">
      <w:start w:val="1"/>
      <w:numFmt w:val="bullet"/>
      <w:lvlText w:val=""/>
      <w:lvlJc w:val="left"/>
      <w:pPr>
        <w:ind w:left="720" w:hanging="360"/>
      </w:pPr>
      <w:rPr>
        <w:rFonts w:ascii="Symbol" w:hAnsi="Symbol"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80148581">
    <w:abstractNumId w:val="2"/>
  </w:num>
  <w:num w:numId="2" w16cid:durableId="2146894213">
    <w:abstractNumId w:val="30"/>
  </w:num>
  <w:num w:numId="3" w16cid:durableId="1034422790">
    <w:abstractNumId w:val="24"/>
  </w:num>
  <w:num w:numId="4" w16cid:durableId="792559305">
    <w:abstractNumId w:val="6"/>
  </w:num>
  <w:num w:numId="5" w16cid:durableId="432014575">
    <w:abstractNumId w:val="14"/>
  </w:num>
  <w:num w:numId="6" w16cid:durableId="1850097446">
    <w:abstractNumId w:val="26"/>
  </w:num>
  <w:num w:numId="7" w16cid:durableId="48921381">
    <w:abstractNumId w:val="0"/>
  </w:num>
  <w:num w:numId="8" w16cid:durableId="1472090296">
    <w:abstractNumId w:val="5"/>
  </w:num>
  <w:num w:numId="9" w16cid:durableId="699547857">
    <w:abstractNumId w:val="40"/>
  </w:num>
  <w:num w:numId="10" w16cid:durableId="1417702282">
    <w:abstractNumId w:val="7"/>
  </w:num>
  <w:num w:numId="11" w16cid:durableId="1333293957">
    <w:abstractNumId w:val="16"/>
  </w:num>
  <w:num w:numId="12" w16cid:durableId="236673725">
    <w:abstractNumId w:val="18"/>
  </w:num>
  <w:num w:numId="13" w16cid:durableId="17759006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67036007">
    <w:abstractNumId w:val="36"/>
  </w:num>
  <w:num w:numId="15" w16cid:durableId="1671446154">
    <w:abstractNumId w:val="13"/>
  </w:num>
  <w:num w:numId="16" w16cid:durableId="1251500097">
    <w:abstractNumId w:val="35"/>
  </w:num>
  <w:num w:numId="17" w16cid:durableId="1505246859">
    <w:abstractNumId w:val="34"/>
  </w:num>
  <w:num w:numId="18" w16cid:durableId="1784155653">
    <w:abstractNumId w:val="29"/>
  </w:num>
  <w:num w:numId="19" w16cid:durableId="2143039045">
    <w:abstractNumId w:val="42"/>
  </w:num>
  <w:num w:numId="20" w16cid:durableId="342321064">
    <w:abstractNumId w:val="4"/>
  </w:num>
  <w:num w:numId="21" w16cid:durableId="991560584">
    <w:abstractNumId w:val="23"/>
  </w:num>
  <w:num w:numId="22" w16cid:durableId="1748261117">
    <w:abstractNumId w:val="3"/>
  </w:num>
  <w:num w:numId="23" w16cid:durableId="1813984782">
    <w:abstractNumId w:val="47"/>
  </w:num>
  <w:num w:numId="24" w16cid:durableId="2091388002">
    <w:abstractNumId w:val="44"/>
  </w:num>
  <w:num w:numId="25" w16cid:durableId="905183483">
    <w:abstractNumId w:val="10"/>
  </w:num>
  <w:num w:numId="26" w16cid:durableId="1249999861">
    <w:abstractNumId w:val="19"/>
  </w:num>
  <w:num w:numId="27" w16cid:durableId="977300840">
    <w:abstractNumId w:val="48"/>
  </w:num>
  <w:num w:numId="28" w16cid:durableId="130557311">
    <w:abstractNumId w:val="1"/>
  </w:num>
  <w:num w:numId="29" w16cid:durableId="578905173">
    <w:abstractNumId w:val="49"/>
  </w:num>
  <w:num w:numId="30" w16cid:durableId="1880193382">
    <w:abstractNumId w:val="27"/>
  </w:num>
  <w:num w:numId="31" w16cid:durableId="257518268">
    <w:abstractNumId w:val="15"/>
  </w:num>
  <w:num w:numId="32" w16cid:durableId="149056542">
    <w:abstractNumId w:val="33"/>
  </w:num>
  <w:num w:numId="33" w16cid:durableId="794642044">
    <w:abstractNumId w:val="25"/>
  </w:num>
  <w:num w:numId="34" w16cid:durableId="211119937">
    <w:abstractNumId w:val="39"/>
  </w:num>
  <w:num w:numId="35" w16cid:durableId="187063952">
    <w:abstractNumId w:val="45"/>
  </w:num>
  <w:num w:numId="36" w16cid:durableId="1420784858">
    <w:abstractNumId w:val="20"/>
  </w:num>
  <w:num w:numId="37" w16cid:durableId="1249653948">
    <w:abstractNumId w:val="32"/>
  </w:num>
  <w:num w:numId="38" w16cid:durableId="1917978372">
    <w:abstractNumId w:val="37"/>
  </w:num>
  <w:num w:numId="39" w16cid:durableId="130513698">
    <w:abstractNumId w:val="17"/>
  </w:num>
  <w:num w:numId="40" w16cid:durableId="1514101174">
    <w:abstractNumId w:val="43"/>
  </w:num>
  <w:num w:numId="41" w16cid:durableId="1926643725">
    <w:abstractNumId w:val="46"/>
  </w:num>
  <w:num w:numId="42" w16cid:durableId="838082414">
    <w:abstractNumId w:val="45"/>
  </w:num>
  <w:num w:numId="43" w16cid:durableId="502747903">
    <w:abstractNumId w:val="28"/>
  </w:num>
  <w:num w:numId="44" w16cid:durableId="1406025485">
    <w:abstractNumId w:val="21"/>
  </w:num>
  <w:num w:numId="45" w16cid:durableId="341933041">
    <w:abstractNumId w:val="22"/>
  </w:num>
  <w:num w:numId="46" w16cid:durableId="1548251775">
    <w:abstractNumId w:val="31"/>
  </w:num>
  <w:num w:numId="47" w16cid:durableId="1659576095">
    <w:abstractNumId w:val="11"/>
  </w:num>
  <w:num w:numId="48" w16cid:durableId="1210459412">
    <w:abstractNumId w:val="41"/>
  </w:num>
  <w:num w:numId="49" w16cid:durableId="499585772">
    <w:abstractNumId w:val="38"/>
  </w:num>
  <w:num w:numId="50" w16cid:durableId="1305280911">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readOnly" w:formatting="1" w:enforcement="1" w:cryptProviderType="rsaAES" w:cryptAlgorithmClass="hash" w:cryptAlgorithmType="typeAny" w:cryptAlgorithmSid="14" w:cryptSpinCount="100000" w:hash="Lr8GwhRVN6zM1SbPRTIXZkNdH2b8FUUMNvHrez7eCnQNyuzLmjMVhfutxqu27hEMvXgRHbnj7gHIiKkfBLpmGA==" w:salt="T1U+aAtmm3VemjHUcGoY2g=="/>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86E"/>
    <w:rsid w:val="00002861"/>
    <w:rsid w:val="000048CC"/>
    <w:rsid w:val="00006100"/>
    <w:rsid w:val="00012818"/>
    <w:rsid w:val="00012C81"/>
    <w:rsid w:val="000154DA"/>
    <w:rsid w:val="0001758B"/>
    <w:rsid w:val="00020265"/>
    <w:rsid w:val="00020407"/>
    <w:rsid w:val="00021BEC"/>
    <w:rsid w:val="00023758"/>
    <w:rsid w:val="000255B4"/>
    <w:rsid w:val="000256E0"/>
    <w:rsid w:val="00026180"/>
    <w:rsid w:val="00030C16"/>
    <w:rsid w:val="00031B07"/>
    <w:rsid w:val="00033461"/>
    <w:rsid w:val="00033C93"/>
    <w:rsid w:val="00035A9F"/>
    <w:rsid w:val="0003744D"/>
    <w:rsid w:val="000427B8"/>
    <w:rsid w:val="000427DD"/>
    <w:rsid w:val="00042E81"/>
    <w:rsid w:val="00043B97"/>
    <w:rsid w:val="00045650"/>
    <w:rsid w:val="00047147"/>
    <w:rsid w:val="0004757D"/>
    <w:rsid w:val="00047E63"/>
    <w:rsid w:val="00051C1D"/>
    <w:rsid w:val="00052DB5"/>
    <w:rsid w:val="00057EC6"/>
    <w:rsid w:val="00061976"/>
    <w:rsid w:val="00062021"/>
    <w:rsid w:val="000622C9"/>
    <w:rsid w:val="00063A52"/>
    <w:rsid w:val="00065270"/>
    <w:rsid w:val="00065F0B"/>
    <w:rsid w:val="000667B7"/>
    <w:rsid w:val="00071C7D"/>
    <w:rsid w:val="000728BE"/>
    <w:rsid w:val="0007342F"/>
    <w:rsid w:val="00073782"/>
    <w:rsid w:val="00073999"/>
    <w:rsid w:val="00075223"/>
    <w:rsid w:val="00076F97"/>
    <w:rsid w:val="00080ED4"/>
    <w:rsid w:val="000852ED"/>
    <w:rsid w:val="000870BB"/>
    <w:rsid w:val="00087D93"/>
    <w:rsid w:val="000936F0"/>
    <w:rsid w:val="000951C1"/>
    <w:rsid w:val="000954FB"/>
    <w:rsid w:val="0009575F"/>
    <w:rsid w:val="0009582C"/>
    <w:rsid w:val="000974C3"/>
    <w:rsid w:val="000A09CD"/>
    <w:rsid w:val="000A356B"/>
    <w:rsid w:val="000A3AC2"/>
    <w:rsid w:val="000A52CC"/>
    <w:rsid w:val="000B18F5"/>
    <w:rsid w:val="000B316E"/>
    <w:rsid w:val="000B3BDE"/>
    <w:rsid w:val="000B3EBE"/>
    <w:rsid w:val="000B6FA1"/>
    <w:rsid w:val="000C0470"/>
    <w:rsid w:val="000C0C22"/>
    <w:rsid w:val="000C0E38"/>
    <w:rsid w:val="000C1D1E"/>
    <w:rsid w:val="000C2BB7"/>
    <w:rsid w:val="000C30E3"/>
    <w:rsid w:val="000C3982"/>
    <w:rsid w:val="000C3C9C"/>
    <w:rsid w:val="000C44ED"/>
    <w:rsid w:val="000C513B"/>
    <w:rsid w:val="000D1898"/>
    <w:rsid w:val="000D651C"/>
    <w:rsid w:val="000D7030"/>
    <w:rsid w:val="000E1BE3"/>
    <w:rsid w:val="000E715B"/>
    <w:rsid w:val="000E76E3"/>
    <w:rsid w:val="000F1065"/>
    <w:rsid w:val="000F40AE"/>
    <w:rsid w:val="000F4A35"/>
    <w:rsid w:val="000F65AD"/>
    <w:rsid w:val="000F65F7"/>
    <w:rsid w:val="000F7C91"/>
    <w:rsid w:val="001013C7"/>
    <w:rsid w:val="00102C02"/>
    <w:rsid w:val="001050B0"/>
    <w:rsid w:val="00105C06"/>
    <w:rsid w:val="001063C6"/>
    <w:rsid w:val="00106611"/>
    <w:rsid w:val="00106733"/>
    <w:rsid w:val="0010673A"/>
    <w:rsid w:val="00110144"/>
    <w:rsid w:val="00112F88"/>
    <w:rsid w:val="0011334B"/>
    <w:rsid w:val="00113764"/>
    <w:rsid w:val="0011515F"/>
    <w:rsid w:val="00121C20"/>
    <w:rsid w:val="00122180"/>
    <w:rsid w:val="001245EF"/>
    <w:rsid w:val="00124C0B"/>
    <w:rsid w:val="00125C9B"/>
    <w:rsid w:val="00126C81"/>
    <w:rsid w:val="00130FFA"/>
    <w:rsid w:val="0013218E"/>
    <w:rsid w:val="00134328"/>
    <w:rsid w:val="0013454C"/>
    <w:rsid w:val="001366CE"/>
    <w:rsid w:val="00136A8D"/>
    <w:rsid w:val="00136FA9"/>
    <w:rsid w:val="001417BF"/>
    <w:rsid w:val="00141A6A"/>
    <w:rsid w:val="00141BCA"/>
    <w:rsid w:val="00145CCD"/>
    <w:rsid w:val="001471EE"/>
    <w:rsid w:val="00147215"/>
    <w:rsid w:val="001505D8"/>
    <w:rsid w:val="0015103C"/>
    <w:rsid w:val="001520E1"/>
    <w:rsid w:val="00154790"/>
    <w:rsid w:val="00156423"/>
    <w:rsid w:val="00157388"/>
    <w:rsid w:val="001600E5"/>
    <w:rsid w:val="00161E28"/>
    <w:rsid w:val="00162F6A"/>
    <w:rsid w:val="00163530"/>
    <w:rsid w:val="00163CE0"/>
    <w:rsid w:val="00164CFA"/>
    <w:rsid w:val="00165595"/>
    <w:rsid w:val="00165965"/>
    <w:rsid w:val="00172E58"/>
    <w:rsid w:val="001805BE"/>
    <w:rsid w:val="00181853"/>
    <w:rsid w:val="00181B2B"/>
    <w:rsid w:val="001829A7"/>
    <w:rsid w:val="00185154"/>
    <w:rsid w:val="001862CA"/>
    <w:rsid w:val="00186A94"/>
    <w:rsid w:val="0019114D"/>
    <w:rsid w:val="0019299C"/>
    <w:rsid w:val="0019456B"/>
    <w:rsid w:val="00194891"/>
    <w:rsid w:val="001A12F5"/>
    <w:rsid w:val="001A29B2"/>
    <w:rsid w:val="001A2BD1"/>
    <w:rsid w:val="001A2E2E"/>
    <w:rsid w:val="001A4786"/>
    <w:rsid w:val="001B1AA3"/>
    <w:rsid w:val="001B214B"/>
    <w:rsid w:val="001B2FC9"/>
    <w:rsid w:val="001B705C"/>
    <w:rsid w:val="001B73A7"/>
    <w:rsid w:val="001C12AF"/>
    <w:rsid w:val="001C2C17"/>
    <w:rsid w:val="001C4974"/>
    <w:rsid w:val="001C59CB"/>
    <w:rsid w:val="001D0F05"/>
    <w:rsid w:val="001D14A4"/>
    <w:rsid w:val="001D309A"/>
    <w:rsid w:val="001D3551"/>
    <w:rsid w:val="001D3CE7"/>
    <w:rsid w:val="001D7F8C"/>
    <w:rsid w:val="001E01A6"/>
    <w:rsid w:val="001E064E"/>
    <w:rsid w:val="001E2DBC"/>
    <w:rsid w:val="001E3051"/>
    <w:rsid w:val="001E3997"/>
    <w:rsid w:val="001E6948"/>
    <w:rsid w:val="001F06AF"/>
    <w:rsid w:val="001F0AA2"/>
    <w:rsid w:val="001F16CA"/>
    <w:rsid w:val="001F3492"/>
    <w:rsid w:val="001F46E4"/>
    <w:rsid w:val="001F4FD0"/>
    <w:rsid w:val="002005E1"/>
    <w:rsid w:val="002044B2"/>
    <w:rsid w:val="00204825"/>
    <w:rsid w:val="00206CF1"/>
    <w:rsid w:val="002078C1"/>
    <w:rsid w:val="00207B66"/>
    <w:rsid w:val="002106C4"/>
    <w:rsid w:val="00210DEF"/>
    <w:rsid w:val="00211DB0"/>
    <w:rsid w:val="002121E4"/>
    <w:rsid w:val="0021267B"/>
    <w:rsid w:val="0021299A"/>
    <w:rsid w:val="002130A5"/>
    <w:rsid w:val="0021459E"/>
    <w:rsid w:val="00217D57"/>
    <w:rsid w:val="00222215"/>
    <w:rsid w:val="00222662"/>
    <w:rsid w:val="002240B7"/>
    <w:rsid w:val="002255D2"/>
    <w:rsid w:val="00226020"/>
    <w:rsid w:val="0022728C"/>
    <w:rsid w:val="00227B88"/>
    <w:rsid w:val="00236218"/>
    <w:rsid w:val="00236C7F"/>
    <w:rsid w:val="0023715A"/>
    <w:rsid w:val="00243184"/>
    <w:rsid w:val="00243228"/>
    <w:rsid w:val="00243870"/>
    <w:rsid w:val="00244359"/>
    <w:rsid w:val="002451D2"/>
    <w:rsid w:val="00250E1C"/>
    <w:rsid w:val="0025119D"/>
    <w:rsid w:val="00251500"/>
    <w:rsid w:val="00251645"/>
    <w:rsid w:val="00252201"/>
    <w:rsid w:val="00254CA6"/>
    <w:rsid w:val="00254DD8"/>
    <w:rsid w:val="00255FD4"/>
    <w:rsid w:val="00257035"/>
    <w:rsid w:val="002570CA"/>
    <w:rsid w:val="002579C2"/>
    <w:rsid w:val="0026022C"/>
    <w:rsid w:val="00261010"/>
    <w:rsid w:val="00261325"/>
    <w:rsid w:val="00263C53"/>
    <w:rsid w:val="00265858"/>
    <w:rsid w:val="002729B7"/>
    <w:rsid w:val="00273E13"/>
    <w:rsid w:val="00274C54"/>
    <w:rsid w:val="00276074"/>
    <w:rsid w:val="00276433"/>
    <w:rsid w:val="00277013"/>
    <w:rsid w:val="0028328E"/>
    <w:rsid w:val="002837E0"/>
    <w:rsid w:val="00283C4D"/>
    <w:rsid w:val="00286F14"/>
    <w:rsid w:val="002872AE"/>
    <w:rsid w:val="0028741E"/>
    <w:rsid w:val="00287AA1"/>
    <w:rsid w:val="00292C72"/>
    <w:rsid w:val="00292DBD"/>
    <w:rsid w:val="00294755"/>
    <w:rsid w:val="002948CF"/>
    <w:rsid w:val="002959A9"/>
    <w:rsid w:val="00296E78"/>
    <w:rsid w:val="002A0B4A"/>
    <w:rsid w:val="002A0D56"/>
    <w:rsid w:val="002A1AA0"/>
    <w:rsid w:val="002A30D4"/>
    <w:rsid w:val="002A521C"/>
    <w:rsid w:val="002A523B"/>
    <w:rsid w:val="002A57AE"/>
    <w:rsid w:val="002B0099"/>
    <w:rsid w:val="002B045F"/>
    <w:rsid w:val="002B1DF3"/>
    <w:rsid w:val="002B308B"/>
    <w:rsid w:val="002B3A71"/>
    <w:rsid w:val="002B4003"/>
    <w:rsid w:val="002B579B"/>
    <w:rsid w:val="002B5DB1"/>
    <w:rsid w:val="002B63EE"/>
    <w:rsid w:val="002B6CA9"/>
    <w:rsid w:val="002B7190"/>
    <w:rsid w:val="002C0295"/>
    <w:rsid w:val="002C1D2C"/>
    <w:rsid w:val="002C33FD"/>
    <w:rsid w:val="002C5B1C"/>
    <w:rsid w:val="002C5CE2"/>
    <w:rsid w:val="002D3521"/>
    <w:rsid w:val="002D408C"/>
    <w:rsid w:val="002D4254"/>
    <w:rsid w:val="002D4E6E"/>
    <w:rsid w:val="002D531F"/>
    <w:rsid w:val="002D7803"/>
    <w:rsid w:val="002E04A4"/>
    <w:rsid w:val="002E28D6"/>
    <w:rsid w:val="002E31FC"/>
    <w:rsid w:val="002E6048"/>
    <w:rsid w:val="002E6FD5"/>
    <w:rsid w:val="002E70C3"/>
    <w:rsid w:val="002F134B"/>
    <w:rsid w:val="002F1516"/>
    <w:rsid w:val="002F26C0"/>
    <w:rsid w:val="002F30EF"/>
    <w:rsid w:val="002F47F1"/>
    <w:rsid w:val="002F4862"/>
    <w:rsid w:val="002F4CD3"/>
    <w:rsid w:val="002F61E6"/>
    <w:rsid w:val="002F7A7B"/>
    <w:rsid w:val="0030086E"/>
    <w:rsid w:val="00301893"/>
    <w:rsid w:val="00303DC2"/>
    <w:rsid w:val="00305739"/>
    <w:rsid w:val="00307D63"/>
    <w:rsid w:val="0031113A"/>
    <w:rsid w:val="0031211D"/>
    <w:rsid w:val="00313082"/>
    <w:rsid w:val="00313AEC"/>
    <w:rsid w:val="00313BF1"/>
    <w:rsid w:val="00313CEE"/>
    <w:rsid w:val="00314B25"/>
    <w:rsid w:val="00315C2E"/>
    <w:rsid w:val="00316F0E"/>
    <w:rsid w:val="00317F97"/>
    <w:rsid w:val="003215C9"/>
    <w:rsid w:val="0032160C"/>
    <w:rsid w:val="00323BAF"/>
    <w:rsid w:val="00324815"/>
    <w:rsid w:val="00327281"/>
    <w:rsid w:val="00327606"/>
    <w:rsid w:val="00327808"/>
    <w:rsid w:val="00330BBD"/>
    <w:rsid w:val="0033199D"/>
    <w:rsid w:val="00333326"/>
    <w:rsid w:val="003367B9"/>
    <w:rsid w:val="00337EDB"/>
    <w:rsid w:val="003411DD"/>
    <w:rsid w:val="003415E7"/>
    <w:rsid w:val="00341A02"/>
    <w:rsid w:val="003431F3"/>
    <w:rsid w:val="003448AB"/>
    <w:rsid w:val="00346CB5"/>
    <w:rsid w:val="00347565"/>
    <w:rsid w:val="00354323"/>
    <w:rsid w:val="00355798"/>
    <w:rsid w:val="00361152"/>
    <w:rsid w:val="00363005"/>
    <w:rsid w:val="0036525E"/>
    <w:rsid w:val="00372200"/>
    <w:rsid w:val="0037398C"/>
    <w:rsid w:val="00373A54"/>
    <w:rsid w:val="003744B0"/>
    <w:rsid w:val="0037618F"/>
    <w:rsid w:val="00383BC7"/>
    <w:rsid w:val="00383CD4"/>
    <w:rsid w:val="00384CA7"/>
    <w:rsid w:val="003852CE"/>
    <w:rsid w:val="003853C1"/>
    <w:rsid w:val="00390273"/>
    <w:rsid w:val="00393A33"/>
    <w:rsid w:val="00394D27"/>
    <w:rsid w:val="00395F81"/>
    <w:rsid w:val="003A00D2"/>
    <w:rsid w:val="003A04C1"/>
    <w:rsid w:val="003A063E"/>
    <w:rsid w:val="003A08A5"/>
    <w:rsid w:val="003A121D"/>
    <w:rsid w:val="003A2B20"/>
    <w:rsid w:val="003B0945"/>
    <w:rsid w:val="003B097F"/>
    <w:rsid w:val="003B15A5"/>
    <w:rsid w:val="003B29FC"/>
    <w:rsid w:val="003B4DCF"/>
    <w:rsid w:val="003B5D89"/>
    <w:rsid w:val="003B70BB"/>
    <w:rsid w:val="003B70E2"/>
    <w:rsid w:val="003B798C"/>
    <w:rsid w:val="003B7F84"/>
    <w:rsid w:val="003C04F5"/>
    <w:rsid w:val="003C185A"/>
    <w:rsid w:val="003C2B52"/>
    <w:rsid w:val="003C35B2"/>
    <w:rsid w:val="003C3638"/>
    <w:rsid w:val="003D0919"/>
    <w:rsid w:val="003D0F9E"/>
    <w:rsid w:val="003D3B71"/>
    <w:rsid w:val="003D3EA5"/>
    <w:rsid w:val="003D4313"/>
    <w:rsid w:val="003D49AE"/>
    <w:rsid w:val="003D4A27"/>
    <w:rsid w:val="003D56AF"/>
    <w:rsid w:val="003D5ADD"/>
    <w:rsid w:val="003D7516"/>
    <w:rsid w:val="003D7B4D"/>
    <w:rsid w:val="003E17EC"/>
    <w:rsid w:val="003E1EF3"/>
    <w:rsid w:val="003E5319"/>
    <w:rsid w:val="003E5C8C"/>
    <w:rsid w:val="003F2EA1"/>
    <w:rsid w:val="003F58E4"/>
    <w:rsid w:val="003F5CA5"/>
    <w:rsid w:val="003F6C9C"/>
    <w:rsid w:val="0040031B"/>
    <w:rsid w:val="00400CC7"/>
    <w:rsid w:val="00401032"/>
    <w:rsid w:val="0040157E"/>
    <w:rsid w:val="00401ADC"/>
    <w:rsid w:val="00403B65"/>
    <w:rsid w:val="004045CC"/>
    <w:rsid w:val="00404615"/>
    <w:rsid w:val="0040546F"/>
    <w:rsid w:val="00406522"/>
    <w:rsid w:val="004066F3"/>
    <w:rsid w:val="004073A5"/>
    <w:rsid w:val="00407534"/>
    <w:rsid w:val="00407776"/>
    <w:rsid w:val="00412745"/>
    <w:rsid w:val="00412821"/>
    <w:rsid w:val="00414361"/>
    <w:rsid w:val="00414C9E"/>
    <w:rsid w:val="00417CC3"/>
    <w:rsid w:val="00422D9C"/>
    <w:rsid w:val="0042458A"/>
    <w:rsid w:val="00425E0B"/>
    <w:rsid w:val="00425F8E"/>
    <w:rsid w:val="00426F15"/>
    <w:rsid w:val="00427353"/>
    <w:rsid w:val="0043285A"/>
    <w:rsid w:val="00432F3B"/>
    <w:rsid w:val="00433492"/>
    <w:rsid w:val="00433CA6"/>
    <w:rsid w:val="00435457"/>
    <w:rsid w:val="0043549A"/>
    <w:rsid w:val="0043564D"/>
    <w:rsid w:val="0043628A"/>
    <w:rsid w:val="004401FD"/>
    <w:rsid w:val="0044176F"/>
    <w:rsid w:val="00444AE6"/>
    <w:rsid w:val="00445E15"/>
    <w:rsid w:val="004465A4"/>
    <w:rsid w:val="004478FD"/>
    <w:rsid w:val="00447C96"/>
    <w:rsid w:val="00454E36"/>
    <w:rsid w:val="00457506"/>
    <w:rsid w:val="00457C2C"/>
    <w:rsid w:val="00461285"/>
    <w:rsid w:val="004621F0"/>
    <w:rsid w:val="00462805"/>
    <w:rsid w:val="0046662C"/>
    <w:rsid w:val="004700B3"/>
    <w:rsid w:val="00473B12"/>
    <w:rsid w:val="00473EBA"/>
    <w:rsid w:val="004774B0"/>
    <w:rsid w:val="004778E0"/>
    <w:rsid w:val="00481792"/>
    <w:rsid w:val="00481E4B"/>
    <w:rsid w:val="0048296E"/>
    <w:rsid w:val="00483DF4"/>
    <w:rsid w:val="00483FD6"/>
    <w:rsid w:val="00485BC6"/>
    <w:rsid w:val="00486412"/>
    <w:rsid w:val="00491C59"/>
    <w:rsid w:val="00491C7B"/>
    <w:rsid w:val="00494AF5"/>
    <w:rsid w:val="004A1012"/>
    <w:rsid w:val="004A11E8"/>
    <w:rsid w:val="004A2D9B"/>
    <w:rsid w:val="004A37B2"/>
    <w:rsid w:val="004B252F"/>
    <w:rsid w:val="004B5B68"/>
    <w:rsid w:val="004B5FBD"/>
    <w:rsid w:val="004B6836"/>
    <w:rsid w:val="004B7DAE"/>
    <w:rsid w:val="004C1644"/>
    <w:rsid w:val="004C2441"/>
    <w:rsid w:val="004C601D"/>
    <w:rsid w:val="004C6E3A"/>
    <w:rsid w:val="004C7EE4"/>
    <w:rsid w:val="004D1AB5"/>
    <w:rsid w:val="004D5249"/>
    <w:rsid w:val="004E02CF"/>
    <w:rsid w:val="004E047D"/>
    <w:rsid w:val="004E0A0C"/>
    <w:rsid w:val="004E1861"/>
    <w:rsid w:val="004E79A4"/>
    <w:rsid w:val="004F0551"/>
    <w:rsid w:val="004F2A3C"/>
    <w:rsid w:val="004F344B"/>
    <w:rsid w:val="004F35D5"/>
    <w:rsid w:val="004F3D6F"/>
    <w:rsid w:val="004F410E"/>
    <w:rsid w:val="004F42C3"/>
    <w:rsid w:val="004F529A"/>
    <w:rsid w:val="004F78E1"/>
    <w:rsid w:val="004F7CB6"/>
    <w:rsid w:val="00500056"/>
    <w:rsid w:val="005000A8"/>
    <w:rsid w:val="0050596C"/>
    <w:rsid w:val="00506737"/>
    <w:rsid w:val="00507781"/>
    <w:rsid w:val="00510198"/>
    <w:rsid w:val="0051056D"/>
    <w:rsid w:val="0051349B"/>
    <w:rsid w:val="00517D53"/>
    <w:rsid w:val="00522726"/>
    <w:rsid w:val="00523099"/>
    <w:rsid w:val="00524AE1"/>
    <w:rsid w:val="00524F2E"/>
    <w:rsid w:val="00525C80"/>
    <w:rsid w:val="005275F1"/>
    <w:rsid w:val="00527935"/>
    <w:rsid w:val="00532BB5"/>
    <w:rsid w:val="005331C9"/>
    <w:rsid w:val="005343EB"/>
    <w:rsid w:val="00536DDB"/>
    <w:rsid w:val="00543ACB"/>
    <w:rsid w:val="00546318"/>
    <w:rsid w:val="00547CDD"/>
    <w:rsid w:val="0055219D"/>
    <w:rsid w:val="0055353F"/>
    <w:rsid w:val="00553D1E"/>
    <w:rsid w:val="00554961"/>
    <w:rsid w:val="005570F9"/>
    <w:rsid w:val="00557C77"/>
    <w:rsid w:val="005607AE"/>
    <w:rsid w:val="005612DB"/>
    <w:rsid w:val="00561A93"/>
    <w:rsid w:val="00564BDB"/>
    <w:rsid w:val="00565C58"/>
    <w:rsid w:val="0056633F"/>
    <w:rsid w:val="00566892"/>
    <w:rsid w:val="00567495"/>
    <w:rsid w:val="00570393"/>
    <w:rsid w:val="005713E5"/>
    <w:rsid w:val="00572FA9"/>
    <w:rsid w:val="005730B0"/>
    <w:rsid w:val="0057372E"/>
    <w:rsid w:val="00573732"/>
    <w:rsid w:val="0058170D"/>
    <w:rsid w:val="00582CAD"/>
    <w:rsid w:val="005835A9"/>
    <w:rsid w:val="00585E49"/>
    <w:rsid w:val="005868FD"/>
    <w:rsid w:val="005908C7"/>
    <w:rsid w:val="005947D0"/>
    <w:rsid w:val="00594B6A"/>
    <w:rsid w:val="00595C0A"/>
    <w:rsid w:val="005A38E4"/>
    <w:rsid w:val="005A3DE7"/>
    <w:rsid w:val="005A435A"/>
    <w:rsid w:val="005A4430"/>
    <w:rsid w:val="005A47CF"/>
    <w:rsid w:val="005A5513"/>
    <w:rsid w:val="005A5886"/>
    <w:rsid w:val="005A6074"/>
    <w:rsid w:val="005A6535"/>
    <w:rsid w:val="005B0C40"/>
    <w:rsid w:val="005B1901"/>
    <w:rsid w:val="005B265D"/>
    <w:rsid w:val="005B4B19"/>
    <w:rsid w:val="005B4C7C"/>
    <w:rsid w:val="005C485D"/>
    <w:rsid w:val="005C7AB0"/>
    <w:rsid w:val="005D39F8"/>
    <w:rsid w:val="005D413E"/>
    <w:rsid w:val="005D620B"/>
    <w:rsid w:val="005D62FF"/>
    <w:rsid w:val="005D7AD0"/>
    <w:rsid w:val="005E259B"/>
    <w:rsid w:val="005E3D2A"/>
    <w:rsid w:val="005E4767"/>
    <w:rsid w:val="005F09BC"/>
    <w:rsid w:val="005F37DA"/>
    <w:rsid w:val="005F4D53"/>
    <w:rsid w:val="005F5A61"/>
    <w:rsid w:val="005F5BF1"/>
    <w:rsid w:val="005F6173"/>
    <w:rsid w:val="005F6E01"/>
    <w:rsid w:val="005F70D0"/>
    <w:rsid w:val="005F7447"/>
    <w:rsid w:val="006016C2"/>
    <w:rsid w:val="006025ED"/>
    <w:rsid w:val="0060261D"/>
    <w:rsid w:val="00602D51"/>
    <w:rsid w:val="006030DC"/>
    <w:rsid w:val="00605FA2"/>
    <w:rsid w:val="0061089F"/>
    <w:rsid w:val="006120AD"/>
    <w:rsid w:val="0061256C"/>
    <w:rsid w:val="0061713C"/>
    <w:rsid w:val="00617A74"/>
    <w:rsid w:val="00621D4B"/>
    <w:rsid w:val="006224BB"/>
    <w:rsid w:val="006224BC"/>
    <w:rsid w:val="00623422"/>
    <w:rsid w:val="00624D64"/>
    <w:rsid w:val="0063235D"/>
    <w:rsid w:val="00633235"/>
    <w:rsid w:val="006341A5"/>
    <w:rsid w:val="006377F8"/>
    <w:rsid w:val="00637935"/>
    <w:rsid w:val="00641286"/>
    <w:rsid w:val="006422DE"/>
    <w:rsid w:val="00642F4E"/>
    <w:rsid w:val="00646916"/>
    <w:rsid w:val="00646C09"/>
    <w:rsid w:val="006520DE"/>
    <w:rsid w:val="00652EED"/>
    <w:rsid w:val="0065325A"/>
    <w:rsid w:val="006574C5"/>
    <w:rsid w:val="006601F5"/>
    <w:rsid w:val="006603DA"/>
    <w:rsid w:val="00661337"/>
    <w:rsid w:val="00661933"/>
    <w:rsid w:val="00662196"/>
    <w:rsid w:val="00662819"/>
    <w:rsid w:val="006630B5"/>
    <w:rsid w:val="00665C73"/>
    <w:rsid w:val="00666A36"/>
    <w:rsid w:val="00670D2F"/>
    <w:rsid w:val="00671EEA"/>
    <w:rsid w:val="00674316"/>
    <w:rsid w:val="00674B12"/>
    <w:rsid w:val="00676126"/>
    <w:rsid w:val="0067635C"/>
    <w:rsid w:val="0068134E"/>
    <w:rsid w:val="00681E11"/>
    <w:rsid w:val="00682553"/>
    <w:rsid w:val="0068284C"/>
    <w:rsid w:val="006828CD"/>
    <w:rsid w:val="0068409F"/>
    <w:rsid w:val="00684E74"/>
    <w:rsid w:val="00686590"/>
    <w:rsid w:val="00686B25"/>
    <w:rsid w:val="006871ED"/>
    <w:rsid w:val="00690285"/>
    <w:rsid w:val="006937C5"/>
    <w:rsid w:val="0069678E"/>
    <w:rsid w:val="006A1801"/>
    <w:rsid w:val="006A1DB5"/>
    <w:rsid w:val="006A1DDB"/>
    <w:rsid w:val="006A5252"/>
    <w:rsid w:val="006A575F"/>
    <w:rsid w:val="006A7FDC"/>
    <w:rsid w:val="006B07F0"/>
    <w:rsid w:val="006B11B8"/>
    <w:rsid w:val="006B12F1"/>
    <w:rsid w:val="006B1E7A"/>
    <w:rsid w:val="006B51A0"/>
    <w:rsid w:val="006B62FE"/>
    <w:rsid w:val="006B7A4B"/>
    <w:rsid w:val="006B7B3D"/>
    <w:rsid w:val="006C1540"/>
    <w:rsid w:val="006C44B4"/>
    <w:rsid w:val="006C5F03"/>
    <w:rsid w:val="006C7568"/>
    <w:rsid w:val="006D13E4"/>
    <w:rsid w:val="006D1E49"/>
    <w:rsid w:val="006D221B"/>
    <w:rsid w:val="006D22C5"/>
    <w:rsid w:val="006D319D"/>
    <w:rsid w:val="006D347D"/>
    <w:rsid w:val="006D5B8A"/>
    <w:rsid w:val="006D66EE"/>
    <w:rsid w:val="006D6E35"/>
    <w:rsid w:val="006D72D9"/>
    <w:rsid w:val="006D79F5"/>
    <w:rsid w:val="006E076D"/>
    <w:rsid w:val="006E0FCA"/>
    <w:rsid w:val="006F21A4"/>
    <w:rsid w:val="006F43B1"/>
    <w:rsid w:val="006F4793"/>
    <w:rsid w:val="006F7E5E"/>
    <w:rsid w:val="00701957"/>
    <w:rsid w:val="007104B7"/>
    <w:rsid w:val="007129A1"/>
    <w:rsid w:val="0071365A"/>
    <w:rsid w:val="00714A07"/>
    <w:rsid w:val="00715051"/>
    <w:rsid w:val="007159AF"/>
    <w:rsid w:val="00716205"/>
    <w:rsid w:val="007168B9"/>
    <w:rsid w:val="00717641"/>
    <w:rsid w:val="00720E2B"/>
    <w:rsid w:val="00720EE1"/>
    <w:rsid w:val="007221C0"/>
    <w:rsid w:val="007222E1"/>
    <w:rsid w:val="007228B1"/>
    <w:rsid w:val="007230DF"/>
    <w:rsid w:val="00723EFE"/>
    <w:rsid w:val="00724364"/>
    <w:rsid w:val="00727D61"/>
    <w:rsid w:val="007310A5"/>
    <w:rsid w:val="0073297E"/>
    <w:rsid w:val="00733175"/>
    <w:rsid w:val="0073400D"/>
    <w:rsid w:val="00735186"/>
    <w:rsid w:val="00735D5A"/>
    <w:rsid w:val="0073625C"/>
    <w:rsid w:val="00736DC2"/>
    <w:rsid w:val="00743706"/>
    <w:rsid w:val="00743C37"/>
    <w:rsid w:val="00744F7D"/>
    <w:rsid w:val="0074550E"/>
    <w:rsid w:val="0075199D"/>
    <w:rsid w:val="00752F4E"/>
    <w:rsid w:val="00752F78"/>
    <w:rsid w:val="007545C6"/>
    <w:rsid w:val="00755BE9"/>
    <w:rsid w:val="0075635A"/>
    <w:rsid w:val="00760155"/>
    <w:rsid w:val="0076161C"/>
    <w:rsid w:val="0076172D"/>
    <w:rsid w:val="00763B68"/>
    <w:rsid w:val="00766A8A"/>
    <w:rsid w:val="00767B67"/>
    <w:rsid w:val="00770A70"/>
    <w:rsid w:val="00770BF1"/>
    <w:rsid w:val="007744C2"/>
    <w:rsid w:val="00774E81"/>
    <w:rsid w:val="007767D9"/>
    <w:rsid w:val="007869DD"/>
    <w:rsid w:val="00786AFA"/>
    <w:rsid w:val="007873D1"/>
    <w:rsid w:val="007875EA"/>
    <w:rsid w:val="007916E7"/>
    <w:rsid w:val="00791F31"/>
    <w:rsid w:val="007925A8"/>
    <w:rsid w:val="00792B0E"/>
    <w:rsid w:val="007940E3"/>
    <w:rsid w:val="0079564F"/>
    <w:rsid w:val="00795837"/>
    <w:rsid w:val="007969C6"/>
    <w:rsid w:val="00796E68"/>
    <w:rsid w:val="00797736"/>
    <w:rsid w:val="00797F2A"/>
    <w:rsid w:val="007A0396"/>
    <w:rsid w:val="007A0989"/>
    <w:rsid w:val="007A5346"/>
    <w:rsid w:val="007A55F2"/>
    <w:rsid w:val="007A5B45"/>
    <w:rsid w:val="007A7F25"/>
    <w:rsid w:val="007B11A4"/>
    <w:rsid w:val="007B4202"/>
    <w:rsid w:val="007B5A24"/>
    <w:rsid w:val="007B5CA7"/>
    <w:rsid w:val="007B79CD"/>
    <w:rsid w:val="007C3E8F"/>
    <w:rsid w:val="007C4D1D"/>
    <w:rsid w:val="007C4DE2"/>
    <w:rsid w:val="007C69F9"/>
    <w:rsid w:val="007C6A27"/>
    <w:rsid w:val="007C6A52"/>
    <w:rsid w:val="007C6A81"/>
    <w:rsid w:val="007C73B0"/>
    <w:rsid w:val="007D0789"/>
    <w:rsid w:val="007D4664"/>
    <w:rsid w:val="007D4C24"/>
    <w:rsid w:val="007D558D"/>
    <w:rsid w:val="007D5B8D"/>
    <w:rsid w:val="007D6EF9"/>
    <w:rsid w:val="007D708A"/>
    <w:rsid w:val="007E0BE4"/>
    <w:rsid w:val="007E17BC"/>
    <w:rsid w:val="007E39A3"/>
    <w:rsid w:val="007E44D4"/>
    <w:rsid w:val="007E4FBB"/>
    <w:rsid w:val="007E5711"/>
    <w:rsid w:val="007E5E0D"/>
    <w:rsid w:val="007E6656"/>
    <w:rsid w:val="007E76B5"/>
    <w:rsid w:val="007F11D0"/>
    <w:rsid w:val="007F21D2"/>
    <w:rsid w:val="007F478E"/>
    <w:rsid w:val="007F512B"/>
    <w:rsid w:val="007F55C9"/>
    <w:rsid w:val="008017ED"/>
    <w:rsid w:val="00801B2F"/>
    <w:rsid w:val="00805028"/>
    <w:rsid w:val="00805428"/>
    <w:rsid w:val="00807D09"/>
    <w:rsid w:val="00812DD0"/>
    <w:rsid w:val="008136DD"/>
    <w:rsid w:val="008144A0"/>
    <w:rsid w:val="008159F2"/>
    <w:rsid w:val="00817789"/>
    <w:rsid w:val="00817D6F"/>
    <w:rsid w:val="0082127B"/>
    <w:rsid w:val="00822503"/>
    <w:rsid w:val="008234E0"/>
    <w:rsid w:val="00826032"/>
    <w:rsid w:val="00827226"/>
    <w:rsid w:val="00827FEF"/>
    <w:rsid w:val="008308EA"/>
    <w:rsid w:val="00831C22"/>
    <w:rsid w:val="00831DA1"/>
    <w:rsid w:val="0083201E"/>
    <w:rsid w:val="0083343D"/>
    <w:rsid w:val="008338D6"/>
    <w:rsid w:val="008341B1"/>
    <w:rsid w:val="0083654F"/>
    <w:rsid w:val="00836666"/>
    <w:rsid w:val="00836D64"/>
    <w:rsid w:val="00840588"/>
    <w:rsid w:val="00840B35"/>
    <w:rsid w:val="00840CA2"/>
    <w:rsid w:val="00841049"/>
    <w:rsid w:val="008415AA"/>
    <w:rsid w:val="008422B1"/>
    <w:rsid w:val="0084269D"/>
    <w:rsid w:val="00843604"/>
    <w:rsid w:val="00845732"/>
    <w:rsid w:val="00845C67"/>
    <w:rsid w:val="00847F09"/>
    <w:rsid w:val="00850E50"/>
    <w:rsid w:val="00851D01"/>
    <w:rsid w:val="008545BE"/>
    <w:rsid w:val="008553C5"/>
    <w:rsid w:val="008572D9"/>
    <w:rsid w:val="00860235"/>
    <w:rsid w:val="008608CA"/>
    <w:rsid w:val="00861028"/>
    <w:rsid w:val="008616BB"/>
    <w:rsid w:val="00861E13"/>
    <w:rsid w:val="00862580"/>
    <w:rsid w:val="008670EF"/>
    <w:rsid w:val="008673D3"/>
    <w:rsid w:val="0087049E"/>
    <w:rsid w:val="008714F4"/>
    <w:rsid w:val="008724E0"/>
    <w:rsid w:val="0087366A"/>
    <w:rsid w:val="0087443E"/>
    <w:rsid w:val="00876F8A"/>
    <w:rsid w:val="008778FD"/>
    <w:rsid w:val="00877A13"/>
    <w:rsid w:val="00880DF7"/>
    <w:rsid w:val="008810B6"/>
    <w:rsid w:val="00881787"/>
    <w:rsid w:val="008837F7"/>
    <w:rsid w:val="00884A31"/>
    <w:rsid w:val="00885E0D"/>
    <w:rsid w:val="00886D13"/>
    <w:rsid w:val="008915CD"/>
    <w:rsid w:val="00891A1D"/>
    <w:rsid w:val="00891DEA"/>
    <w:rsid w:val="00892496"/>
    <w:rsid w:val="008976D8"/>
    <w:rsid w:val="00897F32"/>
    <w:rsid w:val="008A0E1E"/>
    <w:rsid w:val="008A4F6E"/>
    <w:rsid w:val="008A6F22"/>
    <w:rsid w:val="008B1622"/>
    <w:rsid w:val="008B1A01"/>
    <w:rsid w:val="008B2B20"/>
    <w:rsid w:val="008B5C2D"/>
    <w:rsid w:val="008B5D8F"/>
    <w:rsid w:val="008B6BC5"/>
    <w:rsid w:val="008B7FCE"/>
    <w:rsid w:val="008C1377"/>
    <w:rsid w:val="008C1F44"/>
    <w:rsid w:val="008C2C47"/>
    <w:rsid w:val="008C322A"/>
    <w:rsid w:val="008C3C4F"/>
    <w:rsid w:val="008C6E44"/>
    <w:rsid w:val="008D1B92"/>
    <w:rsid w:val="008D3970"/>
    <w:rsid w:val="008D3AD8"/>
    <w:rsid w:val="008D3C20"/>
    <w:rsid w:val="008D5084"/>
    <w:rsid w:val="008D7C9A"/>
    <w:rsid w:val="008E1D3A"/>
    <w:rsid w:val="008E2BEE"/>
    <w:rsid w:val="008E4D7A"/>
    <w:rsid w:val="008E713F"/>
    <w:rsid w:val="008E7667"/>
    <w:rsid w:val="008E7845"/>
    <w:rsid w:val="008F311E"/>
    <w:rsid w:val="008F4E0B"/>
    <w:rsid w:val="008F516A"/>
    <w:rsid w:val="008F6475"/>
    <w:rsid w:val="008F71A0"/>
    <w:rsid w:val="008F7963"/>
    <w:rsid w:val="00901D49"/>
    <w:rsid w:val="00906562"/>
    <w:rsid w:val="0090733A"/>
    <w:rsid w:val="00907866"/>
    <w:rsid w:val="00907F79"/>
    <w:rsid w:val="00911F7B"/>
    <w:rsid w:val="00914161"/>
    <w:rsid w:val="009141FE"/>
    <w:rsid w:val="00915EDA"/>
    <w:rsid w:val="009162E9"/>
    <w:rsid w:val="00916C8D"/>
    <w:rsid w:val="009213C9"/>
    <w:rsid w:val="0092253E"/>
    <w:rsid w:val="009254E7"/>
    <w:rsid w:val="009255A4"/>
    <w:rsid w:val="00927D0B"/>
    <w:rsid w:val="00930F4E"/>
    <w:rsid w:val="00931B11"/>
    <w:rsid w:val="00931D88"/>
    <w:rsid w:val="00932F1C"/>
    <w:rsid w:val="009364CD"/>
    <w:rsid w:val="009453E1"/>
    <w:rsid w:val="009534C9"/>
    <w:rsid w:val="009556BB"/>
    <w:rsid w:val="009571D7"/>
    <w:rsid w:val="009612D8"/>
    <w:rsid w:val="00961EB1"/>
    <w:rsid w:val="00963635"/>
    <w:rsid w:val="00963858"/>
    <w:rsid w:val="00964F07"/>
    <w:rsid w:val="0096501F"/>
    <w:rsid w:val="009670B7"/>
    <w:rsid w:val="00967731"/>
    <w:rsid w:val="009723FF"/>
    <w:rsid w:val="00972AB1"/>
    <w:rsid w:val="00974BE3"/>
    <w:rsid w:val="00976940"/>
    <w:rsid w:val="0098005F"/>
    <w:rsid w:val="00981C23"/>
    <w:rsid w:val="009826AD"/>
    <w:rsid w:val="00984CD8"/>
    <w:rsid w:val="009856D0"/>
    <w:rsid w:val="00985834"/>
    <w:rsid w:val="00985D26"/>
    <w:rsid w:val="00985EFD"/>
    <w:rsid w:val="009930CA"/>
    <w:rsid w:val="00997E0E"/>
    <w:rsid w:val="009A0511"/>
    <w:rsid w:val="009A06D7"/>
    <w:rsid w:val="009A0D22"/>
    <w:rsid w:val="009A199C"/>
    <w:rsid w:val="009A3636"/>
    <w:rsid w:val="009A48B0"/>
    <w:rsid w:val="009A4DC6"/>
    <w:rsid w:val="009A6133"/>
    <w:rsid w:val="009B35A3"/>
    <w:rsid w:val="009B4615"/>
    <w:rsid w:val="009B48A0"/>
    <w:rsid w:val="009B523A"/>
    <w:rsid w:val="009B5977"/>
    <w:rsid w:val="009B5C39"/>
    <w:rsid w:val="009B685B"/>
    <w:rsid w:val="009C0848"/>
    <w:rsid w:val="009C25CD"/>
    <w:rsid w:val="009C35E1"/>
    <w:rsid w:val="009D06B9"/>
    <w:rsid w:val="009D25E6"/>
    <w:rsid w:val="009D308D"/>
    <w:rsid w:val="009D3FF7"/>
    <w:rsid w:val="009D6B6E"/>
    <w:rsid w:val="009E1BC2"/>
    <w:rsid w:val="009F059C"/>
    <w:rsid w:val="009F1773"/>
    <w:rsid w:val="009F3195"/>
    <w:rsid w:val="009F3AF0"/>
    <w:rsid w:val="009F6CE7"/>
    <w:rsid w:val="00A00081"/>
    <w:rsid w:val="00A03DC5"/>
    <w:rsid w:val="00A05596"/>
    <w:rsid w:val="00A0579C"/>
    <w:rsid w:val="00A07960"/>
    <w:rsid w:val="00A13C44"/>
    <w:rsid w:val="00A152C6"/>
    <w:rsid w:val="00A1710C"/>
    <w:rsid w:val="00A20A01"/>
    <w:rsid w:val="00A22C9B"/>
    <w:rsid w:val="00A22D01"/>
    <w:rsid w:val="00A22D2F"/>
    <w:rsid w:val="00A22F35"/>
    <w:rsid w:val="00A24AC4"/>
    <w:rsid w:val="00A25F93"/>
    <w:rsid w:val="00A278D8"/>
    <w:rsid w:val="00A30802"/>
    <w:rsid w:val="00A33DF8"/>
    <w:rsid w:val="00A36F7F"/>
    <w:rsid w:val="00A402EC"/>
    <w:rsid w:val="00A404D6"/>
    <w:rsid w:val="00A41250"/>
    <w:rsid w:val="00A41D4E"/>
    <w:rsid w:val="00A43872"/>
    <w:rsid w:val="00A44353"/>
    <w:rsid w:val="00A45490"/>
    <w:rsid w:val="00A52063"/>
    <w:rsid w:val="00A520B2"/>
    <w:rsid w:val="00A52A8F"/>
    <w:rsid w:val="00A5382D"/>
    <w:rsid w:val="00A55A9A"/>
    <w:rsid w:val="00A574D9"/>
    <w:rsid w:val="00A57E6B"/>
    <w:rsid w:val="00A57F66"/>
    <w:rsid w:val="00A6062C"/>
    <w:rsid w:val="00A640FF"/>
    <w:rsid w:val="00A646B5"/>
    <w:rsid w:val="00A6539F"/>
    <w:rsid w:val="00A65917"/>
    <w:rsid w:val="00A665BB"/>
    <w:rsid w:val="00A66B00"/>
    <w:rsid w:val="00A6778E"/>
    <w:rsid w:val="00A70633"/>
    <w:rsid w:val="00A7224F"/>
    <w:rsid w:val="00A76178"/>
    <w:rsid w:val="00A771B4"/>
    <w:rsid w:val="00A776B9"/>
    <w:rsid w:val="00A77C9A"/>
    <w:rsid w:val="00A81BB7"/>
    <w:rsid w:val="00A83B38"/>
    <w:rsid w:val="00A84644"/>
    <w:rsid w:val="00A847B9"/>
    <w:rsid w:val="00A8600D"/>
    <w:rsid w:val="00A87663"/>
    <w:rsid w:val="00A879A0"/>
    <w:rsid w:val="00A9028F"/>
    <w:rsid w:val="00A91256"/>
    <w:rsid w:val="00A914EF"/>
    <w:rsid w:val="00A91779"/>
    <w:rsid w:val="00A9226C"/>
    <w:rsid w:val="00A955CA"/>
    <w:rsid w:val="00A977A2"/>
    <w:rsid w:val="00AA0C5E"/>
    <w:rsid w:val="00AA1D85"/>
    <w:rsid w:val="00AA6010"/>
    <w:rsid w:val="00AA61F7"/>
    <w:rsid w:val="00AA6C91"/>
    <w:rsid w:val="00AB17DB"/>
    <w:rsid w:val="00AB1D24"/>
    <w:rsid w:val="00AB26CA"/>
    <w:rsid w:val="00AB2A05"/>
    <w:rsid w:val="00AB2A8B"/>
    <w:rsid w:val="00AB3A46"/>
    <w:rsid w:val="00AB41CD"/>
    <w:rsid w:val="00AB50E6"/>
    <w:rsid w:val="00AB70B2"/>
    <w:rsid w:val="00AB70DA"/>
    <w:rsid w:val="00AC09E2"/>
    <w:rsid w:val="00AC4705"/>
    <w:rsid w:val="00AC5D96"/>
    <w:rsid w:val="00AD392A"/>
    <w:rsid w:val="00AD4CFF"/>
    <w:rsid w:val="00AD4DE6"/>
    <w:rsid w:val="00AD5297"/>
    <w:rsid w:val="00AD5DA2"/>
    <w:rsid w:val="00AD6D3D"/>
    <w:rsid w:val="00AD6EC2"/>
    <w:rsid w:val="00AD74F6"/>
    <w:rsid w:val="00AD7DA5"/>
    <w:rsid w:val="00AE0354"/>
    <w:rsid w:val="00AE1B72"/>
    <w:rsid w:val="00AE484B"/>
    <w:rsid w:val="00AE4C26"/>
    <w:rsid w:val="00AF04F1"/>
    <w:rsid w:val="00AF2204"/>
    <w:rsid w:val="00AF22A1"/>
    <w:rsid w:val="00AF3337"/>
    <w:rsid w:val="00AF59E7"/>
    <w:rsid w:val="00B00D4D"/>
    <w:rsid w:val="00B01012"/>
    <w:rsid w:val="00B01293"/>
    <w:rsid w:val="00B012F3"/>
    <w:rsid w:val="00B01895"/>
    <w:rsid w:val="00B01A0C"/>
    <w:rsid w:val="00B038E0"/>
    <w:rsid w:val="00B03E84"/>
    <w:rsid w:val="00B05E04"/>
    <w:rsid w:val="00B0674B"/>
    <w:rsid w:val="00B071CC"/>
    <w:rsid w:val="00B112CA"/>
    <w:rsid w:val="00B12388"/>
    <w:rsid w:val="00B1273F"/>
    <w:rsid w:val="00B1365F"/>
    <w:rsid w:val="00B14CCD"/>
    <w:rsid w:val="00B14D7A"/>
    <w:rsid w:val="00B151EB"/>
    <w:rsid w:val="00B155BA"/>
    <w:rsid w:val="00B15ED3"/>
    <w:rsid w:val="00B162C1"/>
    <w:rsid w:val="00B22000"/>
    <w:rsid w:val="00B22430"/>
    <w:rsid w:val="00B22A4A"/>
    <w:rsid w:val="00B22E14"/>
    <w:rsid w:val="00B24FD0"/>
    <w:rsid w:val="00B25AD2"/>
    <w:rsid w:val="00B26EB1"/>
    <w:rsid w:val="00B31574"/>
    <w:rsid w:val="00B3484C"/>
    <w:rsid w:val="00B34B8C"/>
    <w:rsid w:val="00B34D33"/>
    <w:rsid w:val="00B36B24"/>
    <w:rsid w:val="00B370BD"/>
    <w:rsid w:val="00B42012"/>
    <w:rsid w:val="00B4283C"/>
    <w:rsid w:val="00B43BFE"/>
    <w:rsid w:val="00B46FD9"/>
    <w:rsid w:val="00B471B2"/>
    <w:rsid w:val="00B478DC"/>
    <w:rsid w:val="00B502E6"/>
    <w:rsid w:val="00B51723"/>
    <w:rsid w:val="00B5222A"/>
    <w:rsid w:val="00B52B47"/>
    <w:rsid w:val="00B53493"/>
    <w:rsid w:val="00B536D0"/>
    <w:rsid w:val="00B54A07"/>
    <w:rsid w:val="00B555C1"/>
    <w:rsid w:val="00B55D18"/>
    <w:rsid w:val="00B56CC8"/>
    <w:rsid w:val="00B5745B"/>
    <w:rsid w:val="00B61609"/>
    <w:rsid w:val="00B616EB"/>
    <w:rsid w:val="00B65281"/>
    <w:rsid w:val="00B6600A"/>
    <w:rsid w:val="00B668FB"/>
    <w:rsid w:val="00B66DC0"/>
    <w:rsid w:val="00B70555"/>
    <w:rsid w:val="00B71099"/>
    <w:rsid w:val="00B73317"/>
    <w:rsid w:val="00B7574F"/>
    <w:rsid w:val="00B75F28"/>
    <w:rsid w:val="00B76B8E"/>
    <w:rsid w:val="00B77C34"/>
    <w:rsid w:val="00B83312"/>
    <w:rsid w:val="00B8347A"/>
    <w:rsid w:val="00B848F0"/>
    <w:rsid w:val="00B84DCF"/>
    <w:rsid w:val="00B85128"/>
    <w:rsid w:val="00B87365"/>
    <w:rsid w:val="00B8790E"/>
    <w:rsid w:val="00B87F4B"/>
    <w:rsid w:val="00B91230"/>
    <w:rsid w:val="00B946AC"/>
    <w:rsid w:val="00B947C9"/>
    <w:rsid w:val="00B94FB0"/>
    <w:rsid w:val="00B97C63"/>
    <w:rsid w:val="00BA17C2"/>
    <w:rsid w:val="00BA21CA"/>
    <w:rsid w:val="00BA45AE"/>
    <w:rsid w:val="00BA4F4A"/>
    <w:rsid w:val="00BA61CC"/>
    <w:rsid w:val="00BA66AD"/>
    <w:rsid w:val="00BA7031"/>
    <w:rsid w:val="00BA7AD0"/>
    <w:rsid w:val="00BB25DA"/>
    <w:rsid w:val="00BB2702"/>
    <w:rsid w:val="00BB2A35"/>
    <w:rsid w:val="00BB3CDC"/>
    <w:rsid w:val="00BB3F71"/>
    <w:rsid w:val="00BB49AA"/>
    <w:rsid w:val="00BB53A4"/>
    <w:rsid w:val="00BB6489"/>
    <w:rsid w:val="00BC08A5"/>
    <w:rsid w:val="00BC1076"/>
    <w:rsid w:val="00BC2DD3"/>
    <w:rsid w:val="00BC35AC"/>
    <w:rsid w:val="00BC4C64"/>
    <w:rsid w:val="00BC5E8B"/>
    <w:rsid w:val="00BC67B1"/>
    <w:rsid w:val="00BC7EC7"/>
    <w:rsid w:val="00BD062C"/>
    <w:rsid w:val="00BD0D9F"/>
    <w:rsid w:val="00BD36C3"/>
    <w:rsid w:val="00BD39DF"/>
    <w:rsid w:val="00BD70A0"/>
    <w:rsid w:val="00BD7CF3"/>
    <w:rsid w:val="00BE16D4"/>
    <w:rsid w:val="00BE7B6F"/>
    <w:rsid w:val="00BF2C53"/>
    <w:rsid w:val="00BF30FF"/>
    <w:rsid w:val="00BF619C"/>
    <w:rsid w:val="00BF61B5"/>
    <w:rsid w:val="00BF6B5D"/>
    <w:rsid w:val="00BF6F14"/>
    <w:rsid w:val="00BF7DC0"/>
    <w:rsid w:val="00BF7FF2"/>
    <w:rsid w:val="00C000C3"/>
    <w:rsid w:val="00C002C5"/>
    <w:rsid w:val="00C01F9D"/>
    <w:rsid w:val="00C02C96"/>
    <w:rsid w:val="00C02E60"/>
    <w:rsid w:val="00C047E4"/>
    <w:rsid w:val="00C055F2"/>
    <w:rsid w:val="00C10095"/>
    <w:rsid w:val="00C10E21"/>
    <w:rsid w:val="00C113FE"/>
    <w:rsid w:val="00C11564"/>
    <w:rsid w:val="00C120E3"/>
    <w:rsid w:val="00C1220A"/>
    <w:rsid w:val="00C1514B"/>
    <w:rsid w:val="00C17567"/>
    <w:rsid w:val="00C17A62"/>
    <w:rsid w:val="00C20D97"/>
    <w:rsid w:val="00C22B91"/>
    <w:rsid w:val="00C240FD"/>
    <w:rsid w:val="00C24374"/>
    <w:rsid w:val="00C27633"/>
    <w:rsid w:val="00C302EF"/>
    <w:rsid w:val="00C3173A"/>
    <w:rsid w:val="00C32303"/>
    <w:rsid w:val="00C34747"/>
    <w:rsid w:val="00C353D2"/>
    <w:rsid w:val="00C42B44"/>
    <w:rsid w:val="00C44DD1"/>
    <w:rsid w:val="00C45B0F"/>
    <w:rsid w:val="00C510F4"/>
    <w:rsid w:val="00C51679"/>
    <w:rsid w:val="00C517A9"/>
    <w:rsid w:val="00C527D4"/>
    <w:rsid w:val="00C53F00"/>
    <w:rsid w:val="00C54ACC"/>
    <w:rsid w:val="00C561ED"/>
    <w:rsid w:val="00C5648E"/>
    <w:rsid w:val="00C57C71"/>
    <w:rsid w:val="00C57FAF"/>
    <w:rsid w:val="00C64953"/>
    <w:rsid w:val="00C65132"/>
    <w:rsid w:val="00C65179"/>
    <w:rsid w:val="00C65BBB"/>
    <w:rsid w:val="00C67A6B"/>
    <w:rsid w:val="00C7011F"/>
    <w:rsid w:val="00C7034C"/>
    <w:rsid w:val="00C715D6"/>
    <w:rsid w:val="00C73A46"/>
    <w:rsid w:val="00C74232"/>
    <w:rsid w:val="00C74C53"/>
    <w:rsid w:val="00C76C09"/>
    <w:rsid w:val="00C76DF4"/>
    <w:rsid w:val="00C82129"/>
    <w:rsid w:val="00C828D7"/>
    <w:rsid w:val="00C82CCA"/>
    <w:rsid w:val="00C836F3"/>
    <w:rsid w:val="00C83BF8"/>
    <w:rsid w:val="00C862C4"/>
    <w:rsid w:val="00C87372"/>
    <w:rsid w:val="00C876BF"/>
    <w:rsid w:val="00C901EB"/>
    <w:rsid w:val="00C9155F"/>
    <w:rsid w:val="00C917CB"/>
    <w:rsid w:val="00C92051"/>
    <w:rsid w:val="00C934BC"/>
    <w:rsid w:val="00C97431"/>
    <w:rsid w:val="00C97C3B"/>
    <w:rsid w:val="00CA1DB1"/>
    <w:rsid w:val="00CA1E88"/>
    <w:rsid w:val="00CA5377"/>
    <w:rsid w:val="00CA6A13"/>
    <w:rsid w:val="00CB36FC"/>
    <w:rsid w:val="00CB5FBE"/>
    <w:rsid w:val="00CB77EF"/>
    <w:rsid w:val="00CC05A1"/>
    <w:rsid w:val="00CC0652"/>
    <w:rsid w:val="00CC15DD"/>
    <w:rsid w:val="00CC2261"/>
    <w:rsid w:val="00CC370F"/>
    <w:rsid w:val="00CC3E1D"/>
    <w:rsid w:val="00CC5083"/>
    <w:rsid w:val="00CC5190"/>
    <w:rsid w:val="00CC520D"/>
    <w:rsid w:val="00CC77D8"/>
    <w:rsid w:val="00CD2F92"/>
    <w:rsid w:val="00CD34FA"/>
    <w:rsid w:val="00CD43E4"/>
    <w:rsid w:val="00CD5A62"/>
    <w:rsid w:val="00CD6CA4"/>
    <w:rsid w:val="00CE0C84"/>
    <w:rsid w:val="00CE1196"/>
    <w:rsid w:val="00CE148A"/>
    <w:rsid w:val="00CE22B4"/>
    <w:rsid w:val="00CE295A"/>
    <w:rsid w:val="00CE49F5"/>
    <w:rsid w:val="00CE4F14"/>
    <w:rsid w:val="00CE7DEF"/>
    <w:rsid w:val="00CF3F79"/>
    <w:rsid w:val="00CF632E"/>
    <w:rsid w:val="00CF63C3"/>
    <w:rsid w:val="00D00CFB"/>
    <w:rsid w:val="00D00F4A"/>
    <w:rsid w:val="00D03089"/>
    <w:rsid w:val="00D056DA"/>
    <w:rsid w:val="00D07466"/>
    <w:rsid w:val="00D077B9"/>
    <w:rsid w:val="00D116B0"/>
    <w:rsid w:val="00D12D2F"/>
    <w:rsid w:val="00D132D1"/>
    <w:rsid w:val="00D1645E"/>
    <w:rsid w:val="00D16917"/>
    <w:rsid w:val="00D2070A"/>
    <w:rsid w:val="00D20CE8"/>
    <w:rsid w:val="00D241D3"/>
    <w:rsid w:val="00D24EC3"/>
    <w:rsid w:val="00D253E1"/>
    <w:rsid w:val="00D266EF"/>
    <w:rsid w:val="00D279E7"/>
    <w:rsid w:val="00D27FA8"/>
    <w:rsid w:val="00D365D3"/>
    <w:rsid w:val="00D366E9"/>
    <w:rsid w:val="00D37C9F"/>
    <w:rsid w:val="00D41485"/>
    <w:rsid w:val="00D4159B"/>
    <w:rsid w:val="00D4240A"/>
    <w:rsid w:val="00D42678"/>
    <w:rsid w:val="00D42F7B"/>
    <w:rsid w:val="00D45FBD"/>
    <w:rsid w:val="00D4672E"/>
    <w:rsid w:val="00D51B7C"/>
    <w:rsid w:val="00D530EC"/>
    <w:rsid w:val="00D55089"/>
    <w:rsid w:val="00D55AC5"/>
    <w:rsid w:val="00D56591"/>
    <w:rsid w:val="00D62AD1"/>
    <w:rsid w:val="00D62ADD"/>
    <w:rsid w:val="00D64462"/>
    <w:rsid w:val="00D6491F"/>
    <w:rsid w:val="00D65684"/>
    <w:rsid w:val="00D738E5"/>
    <w:rsid w:val="00D73991"/>
    <w:rsid w:val="00D756B1"/>
    <w:rsid w:val="00D76E92"/>
    <w:rsid w:val="00D77F86"/>
    <w:rsid w:val="00D8049B"/>
    <w:rsid w:val="00D80ADB"/>
    <w:rsid w:val="00D82447"/>
    <w:rsid w:val="00D8608E"/>
    <w:rsid w:val="00D90D67"/>
    <w:rsid w:val="00D92CA4"/>
    <w:rsid w:val="00D93E4C"/>
    <w:rsid w:val="00D9708C"/>
    <w:rsid w:val="00DA105F"/>
    <w:rsid w:val="00DA12BC"/>
    <w:rsid w:val="00DA1751"/>
    <w:rsid w:val="00DA2884"/>
    <w:rsid w:val="00DA2923"/>
    <w:rsid w:val="00DA64FC"/>
    <w:rsid w:val="00DA726F"/>
    <w:rsid w:val="00DA76FA"/>
    <w:rsid w:val="00DB0167"/>
    <w:rsid w:val="00DB1FA7"/>
    <w:rsid w:val="00DB2B49"/>
    <w:rsid w:val="00DB5EF1"/>
    <w:rsid w:val="00DB73BA"/>
    <w:rsid w:val="00DB74F8"/>
    <w:rsid w:val="00DC0320"/>
    <w:rsid w:val="00DC1E0E"/>
    <w:rsid w:val="00DC21AB"/>
    <w:rsid w:val="00DC28FE"/>
    <w:rsid w:val="00DC290C"/>
    <w:rsid w:val="00DC33B4"/>
    <w:rsid w:val="00DD1617"/>
    <w:rsid w:val="00DD1E9F"/>
    <w:rsid w:val="00DD40B0"/>
    <w:rsid w:val="00DD4656"/>
    <w:rsid w:val="00DD6B7F"/>
    <w:rsid w:val="00DE6BDE"/>
    <w:rsid w:val="00DE6FF1"/>
    <w:rsid w:val="00DF01DF"/>
    <w:rsid w:val="00DF20CA"/>
    <w:rsid w:val="00DF2F18"/>
    <w:rsid w:val="00DF3A6F"/>
    <w:rsid w:val="00DF662A"/>
    <w:rsid w:val="00DF779E"/>
    <w:rsid w:val="00DF7D97"/>
    <w:rsid w:val="00E018FB"/>
    <w:rsid w:val="00E10975"/>
    <w:rsid w:val="00E10B8F"/>
    <w:rsid w:val="00E10F21"/>
    <w:rsid w:val="00E11651"/>
    <w:rsid w:val="00E117A2"/>
    <w:rsid w:val="00E128EB"/>
    <w:rsid w:val="00E135C8"/>
    <w:rsid w:val="00E140D7"/>
    <w:rsid w:val="00E15F81"/>
    <w:rsid w:val="00E162EC"/>
    <w:rsid w:val="00E16687"/>
    <w:rsid w:val="00E175E8"/>
    <w:rsid w:val="00E178FA"/>
    <w:rsid w:val="00E209F6"/>
    <w:rsid w:val="00E21D5A"/>
    <w:rsid w:val="00E21DC0"/>
    <w:rsid w:val="00E21E35"/>
    <w:rsid w:val="00E224FF"/>
    <w:rsid w:val="00E238FA"/>
    <w:rsid w:val="00E2511C"/>
    <w:rsid w:val="00E25918"/>
    <w:rsid w:val="00E262C9"/>
    <w:rsid w:val="00E271B7"/>
    <w:rsid w:val="00E307AC"/>
    <w:rsid w:val="00E31BE4"/>
    <w:rsid w:val="00E341E6"/>
    <w:rsid w:val="00E40854"/>
    <w:rsid w:val="00E40B7D"/>
    <w:rsid w:val="00E42591"/>
    <w:rsid w:val="00E433B3"/>
    <w:rsid w:val="00E46ABB"/>
    <w:rsid w:val="00E51CF2"/>
    <w:rsid w:val="00E52C3B"/>
    <w:rsid w:val="00E52D8B"/>
    <w:rsid w:val="00E5456C"/>
    <w:rsid w:val="00E54F8E"/>
    <w:rsid w:val="00E5549C"/>
    <w:rsid w:val="00E56678"/>
    <w:rsid w:val="00E56EE9"/>
    <w:rsid w:val="00E61935"/>
    <w:rsid w:val="00E63C61"/>
    <w:rsid w:val="00E63FCC"/>
    <w:rsid w:val="00E6563D"/>
    <w:rsid w:val="00E6763B"/>
    <w:rsid w:val="00E67C30"/>
    <w:rsid w:val="00E70785"/>
    <w:rsid w:val="00E70ECD"/>
    <w:rsid w:val="00E716C3"/>
    <w:rsid w:val="00E734F4"/>
    <w:rsid w:val="00E7579F"/>
    <w:rsid w:val="00E8026C"/>
    <w:rsid w:val="00E80C25"/>
    <w:rsid w:val="00E86183"/>
    <w:rsid w:val="00E87B7E"/>
    <w:rsid w:val="00E9271F"/>
    <w:rsid w:val="00E95DB3"/>
    <w:rsid w:val="00E979AB"/>
    <w:rsid w:val="00EA0439"/>
    <w:rsid w:val="00EA2ACC"/>
    <w:rsid w:val="00EA317E"/>
    <w:rsid w:val="00EA42AE"/>
    <w:rsid w:val="00EA6322"/>
    <w:rsid w:val="00EB0E39"/>
    <w:rsid w:val="00EB4FF1"/>
    <w:rsid w:val="00EB5043"/>
    <w:rsid w:val="00EB58BD"/>
    <w:rsid w:val="00EB625A"/>
    <w:rsid w:val="00EB6DEE"/>
    <w:rsid w:val="00EB7966"/>
    <w:rsid w:val="00EC0F5F"/>
    <w:rsid w:val="00EC0FFC"/>
    <w:rsid w:val="00EC25D7"/>
    <w:rsid w:val="00EC34C7"/>
    <w:rsid w:val="00EC3A2D"/>
    <w:rsid w:val="00EC3F44"/>
    <w:rsid w:val="00EC4463"/>
    <w:rsid w:val="00EC63CE"/>
    <w:rsid w:val="00EC69D7"/>
    <w:rsid w:val="00ED0EC9"/>
    <w:rsid w:val="00ED16D3"/>
    <w:rsid w:val="00ED2E33"/>
    <w:rsid w:val="00ED3024"/>
    <w:rsid w:val="00ED3120"/>
    <w:rsid w:val="00ED4809"/>
    <w:rsid w:val="00ED71B6"/>
    <w:rsid w:val="00ED73CF"/>
    <w:rsid w:val="00EE0329"/>
    <w:rsid w:val="00EE04E5"/>
    <w:rsid w:val="00EE0CB2"/>
    <w:rsid w:val="00EE138B"/>
    <w:rsid w:val="00EE2E43"/>
    <w:rsid w:val="00EE5474"/>
    <w:rsid w:val="00EE706E"/>
    <w:rsid w:val="00EF0E10"/>
    <w:rsid w:val="00EF11C8"/>
    <w:rsid w:val="00EF2076"/>
    <w:rsid w:val="00EF2AFB"/>
    <w:rsid w:val="00EF30DE"/>
    <w:rsid w:val="00EF3722"/>
    <w:rsid w:val="00EF41C1"/>
    <w:rsid w:val="00EF4E16"/>
    <w:rsid w:val="00EF6C5D"/>
    <w:rsid w:val="00EF71FC"/>
    <w:rsid w:val="00F00AB2"/>
    <w:rsid w:val="00F01FEF"/>
    <w:rsid w:val="00F02800"/>
    <w:rsid w:val="00F02B45"/>
    <w:rsid w:val="00F02E0A"/>
    <w:rsid w:val="00F0490F"/>
    <w:rsid w:val="00F07693"/>
    <w:rsid w:val="00F079E7"/>
    <w:rsid w:val="00F11F81"/>
    <w:rsid w:val="00F129BB"/>
    <w:rsid w:val="00F1332F"/>
    <w:rsid w:val="00F13B73"/>
    <w:rsid w:val="00F16547"/>
    <w:rsid w:val="00F17122"/>
    <w:rsid w:val="00F17C73"/>
    <w:rsid w:val="00F200DD"/>
    <w:rsid w:val="00F203D5"/>
    <w:rsid w:val="00F230A4"/>
    <w:rsid w:val="00F26D0D"/>
    <w:rsid w:val="00F311B5"/>
    <w:rsid w:val="00F33321"/>
    <w:rsid w:val="00F33D5C"/>
    <w:rsid w:val="00F3427C"/>
    <w:rsid w:val="00F35565"/>
    <w:rsid w:val="00F357CA"/>
    <w:rsid w:val="00F35F42"/>
    <w:rsid w:val="00F371C0"/>
    <w:rsid w:val="00F4067D"/>
    <w:rsid w:val="00F40D73"/>
    <w:rsid w:val="00F41136"/>
    <w:rsid w:val="00F41AD0"/>
    <w:rsid w:val="00F431FB"/>
    <w:rsid w:val="00F43F20"/>
    <w:rsid w:val="00F44BC4"/>
    <w:rsid w:val="00F44C5C"/>
    <w:rsid w:val="00F44CDF"/>
    <w:rsid w:val="00F45D2C"/>
    <w:rsid w:val="00F5199F"/>
    <w:rsid w:val="00F51A0D"/>
    <w:rsid w:val="00F52488"/>
    <w:rsid w:val="00F53669"/>
    <w:rsid w:val="00F53ACB"/>
    <w:rsid w:val="00F54F2F"/>
    <w:rsid w:val="00F557B8"/>
    <w:rsid w:val="00F55BE6"/>
    <w:rsid w:val="00F5680A"/>
    <w:rsid w:val="00F5691E"/>
    <w:rsid w:val="00F6010B"/>
    <w:rsid w:val="00F60E46"/>
    <w:rsid w:val="00F6184E"/>
    <w:rsid w:val="00F64533"/>
    <w:rsid w:val="00F659CF"/>
    <w:rsid w:val="00F66CEE"/>
    <w:rsid w:val="00F66DDE"/>
    <w:rsid w:val="00F7134D"/>
    <w:rsid w:val="00F718FD"/>
    <w:rsid w:val="00F8007E"/>
    <w:rsid w:val="00F8188A"/>
    <w:rsid w:val="00F81C8A"/>
    <w:rsid w:val="00F82F4B"/>
    <w:rsid w:val="00F84805"/>
    <w:rsid w:val="00F84F63"/>
    <w:rsid w:val="00F850BF"/>
    <w:rsid w:val="00F850EE"/>
    <w:rsid w:val="00F85FBF"/>
    <w:rsid w:val="00F93644"/>
    <w:rsid w:val="00F94B55"/>
    <w:rsid w:val="00FA0124"/>
    <w:rsid w:val="00FA0FA0"/>
    <w:rsid w:val="00FA24FE"/>
    <w:rsid w:val="00FA2B02"/>
    <w:rsid w:val="00FA3203"/>
    <w:rsid w:val="00FA3707"/>
    <w:rsid w:val="00FA3A63"/>
    <w:rsid w:val="00FA5346"/>
    <w:rsid w:val="00FA603D"/>
    <w:rsid w:val="00FA73DF"/>
    <w:rsid w:val="00FB1115"/>
    <w:rsid w:val="00FB1FD8"/>
    <w:rsid w:val="00FB3447"/>
    <w:rsid w:val="00FB35CD"/>
    <w:rsid w:val="00FB4AE4"/>
    <w:rsid w:val="00FB613A"/>
    <w:rsid w:val="00FB7A66"/>
    <w:rsid w:val="00FC04B7"/>
    <w:rsid w:val="00FC04C5"/>
    <w:rsid w:val="00FC0DA8"/>
    <w:rsid w:val="00FC19DB"/>
    <w:rsid w:val="00FC25D2"/>
    <w:rsid w:val="00FC2AAF"/>
    <w:rsid w:val="00FC4CBF"/>
    <w:rsid w:val="00FC4ED7"/>
    <w:rsid w:val="00FD05C0"/>
    <w:rsid w:val="00FD1F35"/>
    <w:rsid w:val="00FD3467"/>
    <w:rsid w:val="00FD35A7"/>
    <w:rsid w:val="00FD36C5"/>
    <w:rsid w:val="00FD41C3"/>
    <w:rsid w:val="00FD6991"/>
    <w:rsid w:val="00FD73EF"/>
    <w:rsid w:val="00FD7B17"/>
    <w:rsid w:val="00FD7F5D"/>
    <w:rsid w:val="00FE1B85"/>
    <w:rsid w:val="00FE3669"/>
    <w:rsid w:val="00FE3B99"/>
    <w:rsid w:val="00FE3C8A"/>
    <w:rsid w:val="00FE7111"/>
    <w:rsid w:val="00FE71A2"/>
    <w:rsid w:val="00FE7A02"/>
    <w:rsid w:val="00FE7BA7"/>
    <w:rsid w:val="00FE7EF6"/>
    <w:rsid w:val="00FF23D2"/>
    <w:rsid w:val="00FF3EF1"/>
    <w:rsid w:val="00FF4688"/>
    <w:rsid w:val="00FF4CED"/>
    <w:rsid w:val="00FF634C"/>
    <w:rsid w:val="00FF781B"/>
    <w:rsid w:val="00FF7DA3"/>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76C3F18C"/>
  <w15:docId w15:val="{B549A4E1-4502-4FB1-A17F-DF6AB0B7A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2" w:unhideWhenUsed="1" w:qFormat="1"/>
    <w:lsdException w:name="List 2" w:semiHidden="1" w:unhideWhenUsed="1"/>
    <w:lsdException w:name="List 3" w:semiHidden="1"/>
    <w:lsdException w:name="List 4" w:semiHidden="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9"/>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10"/>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53E"/>
    <w:pPr>
      <w:spacing w:before="0" w:after="0"/>
    </w:pPr>
    <w:rPr>
      <w:rFonts w:ascii="Gotham Thin" w:hAnsi="Gotham Thin"/>
      <w:sz w:val="20"/>
    </w:rPr>
  </w:style>
  <w:style w:type="paragraph" w:styleId="Heading1">
    <w:name w:val="heading 1"/>
    <w:basedOn w:val="Normal"/>
    <w:next w:val="BodyText"/>
    <w:link w:val="Heading1Char"/>
    <w:qFormat/>
    <w:rsid w:val="00AF22A1"/>
    <w:pPr>
      <w:keepNext/>
      <w:keepLines/>
      <w:pageBreakBefore/>
      <w:widowControl w:val="0"/>
      <w:spacing w:after="240"/>
      <w:outlineLvl w:val="0"/>
    </w:pPr>
    <w:rPr>
      <w:rFonts w:ascii="Gotham" w:eastAsia="Times New Roman" w:hAnsi="Gotham" w:cs="Arial"/>
      <w:bCs/>
      <w:sz w:val="32"/>
      <w:szCs w:val="32"/>
      <w:lang w:eastAsia="en-AU"/>
    </w:rPr>
  </w:style>
  <w:style w:type="paragraph" w:styleId="Heading2">
    <w:name w:val="heading 2"/>
    <w:basedOn w:val="Normal"/>
    <w:next w:val="BodyText"/>
    <w:link w:val="Heading2Char"/>
    <w:qFormat/>
    <w:rsid w:val="002E6048"/>
    <w:pPr>
      <w:keepNext/>
      <w:keepLines/>
      <w:spacing w:before="120" w:after="120"/>
      <w:outlineLvl w:val="1"/>
    </w:pPr>
    <w:rPr>
      <w:rFonts w:ascii="Gotham" w:eastAsia="Times New Roman" w:hAnsi="Gotham" w:cs="Arial"/>
      <w:bCs/>
      <w:iCs/>
      <w:color w:val="324851"/>
      <w:sz w:val="28"/>
      <w:szCs w:val="28"/>
      <w:lang w:eastAsia="en-AU"/>
    </w:rPr>
  </w:style>
  <w:style w:type="paragraph" w:styleId="Heading3">
    <w:name w:val="heading 3"/>
    <w:basedOn w:val="Normal"/>
    <w:next w:val="BodyText"/>
    <w:link w:val="Heading3Char"/>
    <w:qFormat/>
    <w:rsid w:val="002E6048"/>
    <w:pPr>
      <w:keepNext/>
      <w:keepLines/>
      <w:spacing w:before="120" w:after="120"/>
      <w:outlineLvl w:val="2"/>
    </w:pPr>
    <w:rPr>
      <w:rFonts w:eastAsia="Times New Roman" w:cs="Times New Roman"/>
      <w:bCs/>
      <w:color w:val="324851"/>
      <w:sz w:val="26"/>
      <w:szCs w:val="24"/>
      <w:lang w:eastAsia="en-AU"/>
    </w:rPr>
  </w:style>
  <w:style w:type="paragraph" w:styleId="Heading4">
    <w:name w:val="heading 4"/>
    <w:basedOn w:val="Normal"/>
    <w:next w:val="BodyText"/>
    <w:link w:val="Heading4Char"/>
    <w:qFormat/>
    <w:rsid w:val="002E6048"/>
    <w:pPr>
      <w:keepNext/>
      <w:keepLines/>
      <w:spacing w:before="120" w:after="120"/>
      <w:outlineLvl w:val="3"/>
    </w:pPr>
    <w:rPr>
      <w:rFonts w:ascii="Gotham" w:eastAsia="Times New Roman" w:hAnsi="Gotham" w:cs="Times New Roman"/>
      <w:bCs/>
      <w:color w:val="122872"/>
      <w:sz w:val="24"/>
      <w:lang w:eastAsia="en-AU"/>
    </w:rPr>
  </w:style>
  <w:style w:type="paragraph" w:styleId="Heading5">
    <w:name w:val="heading 5"/>
    <w:basedOn w:val="Normal"/>
    <w:next w:val="BodyText"/>
    <w:link w:val="Heading5Char"/>
    <w:qFormat/>
    <w:rsid w:val="002E6048"/>
    <w:pPr>
      <w:keepNext/>
      <w:keepLines/>
      <w:spacing w:before="120" w:after="120"/>
      <w:outlineLvl w:val="4"/>
    </w:pPr>
    <w:rPr>
      <w:rFonts w:eastAsia="Times New Roman" w:cs="Times New Roman"/>
      <w:bCs/>
      <w:iCs/>
      <w:color w:val="122872"/>
      <w:szCs w:val="26"/>
      <w:lang w:eastAsia="en-AU"/>
    </w:rPr>
  </w:style>
  <w:style w:type="paragraph" w:styleId="Heading6">
    <w:name w:val="heading 6"/>
    <w:basedOn w:val="Normal"/>
    <w:next w:val="Normal"/>
    <w:link w:val="Heading6Char"/>
    <w:uiPriority w:val="99"/>
    <w:semiHidden/>
    <w:qFormat/>
    <w:rsid w:val="00D00F4A"/>
    <w:pPr>
      <w:spacing w:before="120" w:after="120"/>
      <w:outlineLvl w:val="5"/>
    </w:pPr>
    <w:rPr>
      <w:rFonts w:eastAsia="Times New Roman" w:cs="Times New Roman"/>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2253E"/>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rsid w:val="0092253E"/>
    <w:rPr>
      <w:rFonts w:ascii="Gotham Thin" w:eastAsia="Times New Roman" w:hAnsi="Gotham Thin" w:cs="Times New Roman"/>
      <w:sz w:val="20"/>
      <w:szCs w:val="24"/>
      <w:lang w:eastAsia="en-AU"/>
    </w:rPr>
  </w:style>
  <w:style w:type="character" w:customStyle="1" w:styleId="Heading1Char">
    <w:name w:val="Heading 1 Char"/>
    <w:basedOn w:val="DefaultParagraphFont"/>
    <w:link w:val="Heading1"/>
    <w:rsid w:val="00AF22A1"/>
    <w:rPr>
      <w:rFonts w:ascii="Gotham" w:eastAsia="Times New Roman" w:hAnsi="Gotham" w:cs="Arial"/>
      <w:bCs/>
      <w:sz w:val="32"/>
      <w:szCs w:val="32"/>
      <w:lang w:eastAsia="en-AU"/>
    </w:rPr>
  </w:style>
  <w:style w:type="character" w:customStyle="1" w:styleId="Heading2Char">
    <w:name w:val="Heading 2 Char"/>
    <w:basedOn w:val="DefaultParagraphFont"/>
    <w:link w:val="Heading2"/>
    <w:rsid w:val="002E6048"/>
    <w:rPr>
      <w:rFonts w:ascii="Gotham" w:eastAsia="Times New Roman" w:hAnsi="Gotham" w:cs="Arial"/>
      <w:bCs/>
      <w:iCs/>
      <w:color w:val="324851"/>
      <w:sz w:val="28"/>
      <w:szCs w:val="28"/>
      <w:lang w:eastAsia="en-AU"/>
    </w:rPr>
  </w:style>
  <w:style w:type="character" w:customStyle="1" w:styleId="Heading3Char">
    <w:name w:val="Heading 3 Char"/>
    <w:basedOn w:val="DefaultParagraphFont"/>
    <w:link w:val="Heading3"/>
    <w:rsid w:val="002E6048"/>
    <w:rPr>
      <w:rFonts w:ascii="Gotham Thin" w:eastAsia="Times New Roman" w:hAnsi="Gotham Thin" w:cs="Times New Roman"/>
      <w:bCs/>
      <w:color w:val="324851"/>
      <w:sz w:val="26"/>
      <w:szCs w:val="24"/>
      <w:lang w:eastAsia="en-AU"/>
    </w:rPr>
  </w:style>
  <w:style w:type="character" w:customStyle="1" w:styleId="Heading4Char">
    <w:name w:val="Heading 4 Char"/>
    <w:basedOn w:val="DefaultParagraphFont"/>
    <w:link w:val="Heading4"/>
    <w:rsid w:val="002E6048"/>
    <w:rPr>
      <w:rFonts w:ascii="Gotham" w:eastAsia="Times New Roman" w:hAnsi="Gotham" w:cs="Times New Roman"/>
      <w:bCs/>
      <w:color w:val="122872"/>
      <w:sz w:val="24"/>
      <w:lang w:eastAsia="en-AU"/>
    </w:rPr>
  </w:style>
  <w:style w:type="paragraph" w:customStyle="1" w:styleId="NbrHeading1">
    <w:name w:val="Nbr Heading 1"/>
    <w:basedOn w:val="Heading1"/>
    <w:next w:val="BodyText"/>
    <w:uiPriority w:val="9"/>
    <w:qFormat/>
    <w:rsid w:val="00D00F4A"/>
    <w:pPr>
      <w:numPr>
        <w:ilvl w:val="1"/>
        <w:numId w:val="22"/>
      </w:numPr>
    </w:pPr>
    <w:rPr>
      <w:bCs w:val="0"/>
    </w:rPr>
  </w:style>
  <w:style w:type="paragraph" w:customStyle="1" w:styleId="NbrHeading2">
    <w:name w:val="Nbr Heading 2"/>
    <w:basedOn w:val="Heading2"/>
    <w:next w:val="BodyText"/>
    <w:uiPriority w:val="9"/>
    <w:qFormat/>
    <w:rsid w:val="00D00F4A"/>
    <w:pPr>
      <w:numPr>
        <w:ilvl w:val="2"/>
        <w:numId w:val="22"/>
      </w:numPr>
    </w:pPr>
  </w:style>
  <w:style w:type="paragraph" w:customStyle="1" w:styleId="NbrHeading3">
    <w:name w:val="Nbr Heading 3"/>
    <w:basedOn w:val="Heading3"/>
    <w:next w:val="BodyText"/>
    <w:uiPriority w:val="9"/>
    <w:qFormat/>
    <w:rsid w:val="00D00F4A"/>
    <w:pPr>
      <w:numPr>
        <w:ilvl w:val="3"/>
        <w:numId w:val="22"/>
      </w:numPr>
    </w:pPr>
  </w:style>
  <w:style w:type="paragraph" w:customStyle="1" w:styleId="NbrHeading4">
    <w:name w:val="Nbr Heading 4"/>
    <w:basedOn w:val="Heading4"/>
    <w:next w:val="BodyText"/>
    <w:uiPriority w:val="9"/>
    <w:qFormat/>
    <w:rsid w:val="002E6048"/>
    <w:pPr>
      <w:numPr>
        <w:ilvl w:val="4"/>
        <w:numId w:val="22"/>
      </w:numPr>
    </w:pPr>
  </w:style>
  <w:style w:type="paragraph" w:styleId="Title">
    <w:name w:val="Title"/>
    <w:basedOn w:val="Normal"/>
    <w:next w:val="BodyText"/>
    <w:link w:val="TitleChar"/>
    <w:uiPriority w:val="9"/>
    <w:rsid w:val="00D00F4A"/>
    <w:pPr>
      <w:spacing w:before="360" w:after="360"/>
    </w:pPr>
    <w:rPr>
      <w:rFonts w:asciiTheme="majorHAnsi" w:eastAsiaTheme="majorEastAsia" w:hAnsiTheme="majorHAnsi" w:cstheme="majorBidi"/>
      <w:caps/>
      <w:color w:val="FFFFFF" w:themeColor="background1"/>
      <w:sz w:val="40"/>
      <w:szCs w:val="52"/>
    </w:rPr>
  </w:style>
  <w:style w:type="character" w:customStyle="1" w:styleId="TitleChar">
    <w:name w:val="Title Char"/>
    <w:basedOn w:val="DefaultParagraphFont"/>
    <w:link w:val="Title"/>
    <w:uiPriority w:val="9"/>
    <w:rsid w:val="00D00F4A"/>
    <w:rPr>
      <w:rFonts w:asciiTheme="majorHAnsi" w:eastAsiaTheme="majorEastAsia" w:hAnsiTheme="majorHAnsi" w:cstheme="majorBidi"/>
      <w:caps/>
      <w:color w:val="FFFFFF" w:themeColor="background1"/>
      <w:sz w:val="40"/>
      <w:szCs w:val="52"/>
    </w:rPr>
  </w:style>
  <w:style w:type="paragraph" w:styleId="Subtitle">
    <w:name w:val="Subtitle"/>
    <w:basedOn w:val="Normal"/>
    <w:next w:val="BodyText"/>
    <w:link w:val="SubtitleChar"/>
    <w:uiPriority w:val="10"/>
    <w:rsid w:val="00D00F4A"/>
    <w:pPr>
      <w:numPr>
        <w:ilvl w:val="1"/>
      </w:numPr>
      <w:spacing w:before="240" w:after="840"/>
    </w:pPr>
    <w:rPr>
      <w:rFonts w:asciiTheme="majorHAnsi" w:eastAsiaTheme="majorEastAsia" w:hAnsiTheme="majorHAnsi" w:cstheme="majorBidi"/>
      <w:iCs/>
      <w:caps/>
      <w:color w:val="FFFFFF" w:themeColor="background1"/>
      <w:sz w:val="36"/>
      <w:szCs w:val="24"/>
    </w:rPr>
  </w:style>
  <w:style w:type="character" w:customStyle="1" w:styleId="SubtitleChar">
    <w:name w:val="Subtitle Char"/>
    <w:basedOn w:val="DefaultParagraphFont"/>
    <w:link w:val="Subtitle"/>
    <w:uiPriority w:val="10"/>
    <w:rsid w:val="00D00F4A"/>
    <w:rPr>
      <w:rFonts w:asciiTheme="majorHAnsi" w:eastAsiaTheme="majorEastAsia" w:hAnsiTheme="majorHAnsi" w:cstheme="majorBidi"/>
      <w:iCs/>
      <w:caps/>
      <w:color w:val="FFFFFF" w:themeColor="background1"/>
      <w:sz w:val="36"/>
      <w:szCs w:val="24"/>
    </w:rPr>
  </w:style>
  <w:style w:type="paragraph" w:styleId="BodyText2">
    <w:name w:val="Body Text 2"/>
    <w:basedOn w:val="BodyText"/>
    <w:link w:val="BodyText2Char"/>
    <w:uiPriority w:val="99"/>
    <w:semiHidden/>
    <w:qFormat/>
    <w:rsid w:val="00D00F4A"/>
    <w:pPr>
      <w:numPr>
        <w:ilvl w:val="1"/>
      </w:numPr>
      <w:tabs>
        <w:tab w:val="left" w:pos="567"/>
      </w:tabs>
    </w:pPr>
  </w:style>
  <w:style w:type="character" w:customStyle="1" w:styleId="BodyText2Char">
    <w:name w:val="Body Text 2 Char"/>
    <w:basedOn w:val="DefaultParagraphFont"/>
    <w:link w:val="BodyText2"/>
    <w:uiPriority w:val="99"/>
    <w:semiHidden/>
    <w:rsid w:val="00D00F4A"/>
    <w:rPr>
      <w:rFonts w:eastAsia="Times New Roman" w:cs="Times New Roman"/>
      <w:szCs w:val="24"/>
      <w:lang w:eastAsia="en-AU"/>
    </w:rPr>
  </w:style>
  <w:style w:type="paragraph" w:styleId="Header">
    <w:name w:val="header"/>
    <w:basedOn w:val="Normal"/>
    <w:link w:val="HeaderChar"/>
    <w:uiPriority w:val="99"/>
    <w:unhideWhenUsed/>
    <w:rsid w:val="00D00F4A"/>
    <w:pPr>
      <w:spacing w:before="420"/>
      <w:ind w:right="-1"/>
    </w:pPr>
    <w:rPr>
      <w:caps/>
    </w:rPr>
  </w:style>
  <w:style w:type="character" w:customStyle="1" w:styleId="HeaderChar">
    <w:name w:val="Header Char"/>
    <w:basedOn w:val="DefaultParagraphFont"/>
    <w:link w:val="Header"/>
    <w:uiPriority w:val="99"/>
    <w:rsid w:val="00D00F4A"/>
    <w:rPr>
      <w:caps/>
      <w:sz w:val="20"/>
    </w:rPr>
  </w:style>
  <w:style w:type="paragraph" w:styleId="Footer">
    <w:name w:val="footer"/>
    <w:basedOn w:val="Normal"/>
    <w:link w:val="FooterChar"/>
    <w:uiPriority w:val="99"/>
    <w:unhideWhenUsed/>
    <w:rsid w:val="00D00F4A"/>
    <w:pPr>
      <w:pBdr>
        <w:top w:val="single" w:sz="4" w:space="6" w:color="324851" w:themeColor="accent1"/>
      </w:pBdr>
      <w:tabs>
        <w:tab w:val="right" w:pos="9639"/>
      </w:tabs>
    </w:pPr>
    <w:rPr>
      <w:caps/>
      <w:noProof/>
      <w:lang w:eastAsia="en-AU"/>
    </w:rPr>
  </w:style>
  <w:style w:type="character" w:customStyle="1" w:styleId="FooterChar">
    <w:name w:val="Footer Char"/>
    <w:basedOn w:val="DefaultParagraphFont"/>
    <w:link w:val="Footer"/>
    <w:uiPriority w:val="99"/>
    <w:rsid w:val="00D00F4A"/>
    <w:rPr>
      <w:caps/>
      <w:noProof/>
      <w:sz w:val="20"/>
      <w:lang w:eastAsia="en-AU"/>
    </w:rPr>
  </w:style>
  <w:style w:type="paragraph" w:styleId="ListNumber0">
    <w:name w:val="List Number"/>
    <w:basedOn w:val="Normal"/>
    <w:uiPriority w:val="2"/>
    <w:qFormat/>
    <w:rsid w:val="00D00F4A"/>
    <w:pPr>
      <w:numPr>
        <w:numId w:val="5"/>
      </w:numPr>
      <w:spacing w:before="120" w:after="120" w:line="264" w:lineRule="auto"/>
    </w:pPr>
    <w:rPr>
      <w:rFonts w:eastAsia="Times New Roman" w:cs="Times New Roman"/>
      <w:szCs w:val="24"/>
      <w:lang w:eastAsia="en-AU"/>
    </w:rPr>
  </w:style>
  <w:style w:type="paragraph" w:styleId="ListBullet0">
    <w:name w:val="List Bullet"/>
    <w:basedOn w:val="Normal"/>
    <w:uiPriority w:val="1"/>
    <w:qFormat/>
    <w:rsid w:val="0092253E"/>
    <w:pPr>
      <w:numPr>
        <w:numId w:val="3"/>
      </w:numPr>
      <w:spacing w:before="120" w:after="120" w:line="264" w:lineRule="auto"/>
    </w:pPr>
    <w:rPr>
      <w:rFonts w:eastAsia="Times New Roman" w:cs="Times New Roman"/>
      <w:szCs w:val="24"/>
      <w:lang w:eastAsia="en-AU"/>
    </w:rPr>
  </w:style>
  <w:style w:type="paragraph" w:styleId="TOCHeading">
    <w:name w:val="TOC Heading"/>
    <w:basedOn w:val="Heading1"/>
    <w:next w:val="Normal"/>
    <w:uiPriority w:val="39"/>
    <w:qFormat/>
    <w:rsid w:val="00D00F4A"/>
    <w:pPr>
      <w:pageBreakBefore w:val="0"/>
      <w:spacing w:before="360"/>
    </w:pPr>
  </w:style>
  <w:style w:type="character" w:styleId="Hyperlink">
    <w:name w:val="Hyperlink"/>
    <w:basedOn w:val="DefaultParagraphFont"/>
    <w:uiPriority w:val="99"/>
    <w:qFormat/>
    <w:rsid w:val="002E6048"/>
    <w:rPr>
      <w:color w:val="324851"/>
      <w:u w:val="single"/>
    </w:rPr>
  </w:style>
  <w:style w:type="paragraph" w:styleId="TOC1">
    <w:name w:val="toc 1"/>
    <w:basedOn w:val="Normal"/>
    <w:next w:val="Normal"/>
    <w:uiPriority w:val="39"/>
    <w:rsid w:val="00AF22A1"/>
    <w:pPr>
      <w:keepNext/>
      <w:tabs>
        <w:tab w:val="right" w:leader="dot" w:pos="9639"/>
      </w:tabs>
      <w:spacing w:before="120" w:after="40"/>
    </w:pPr>
    <w:rPr>
      <w:b/>
      <w:sz w:val="24"/>
    </w:rPr>
  </w:style>
  <w:style w:type="paragraph" w:styleId="TOC2">
    <w:name w:val="toc 2"/>
    <w:basedOn w:val="Normal"/>
    <w:next w:val="Normal"/>
    <w:uiPriority w:val="39"/>
    <w:rsid w:val="00D00F4A"/>
    <w:pPr>
      <w:tabs>
        <w:tab w:val="right" w:pos="9639"/>
      </w:tabs>
      <w:spacing w:before="20" w:after="20"/>
      <w:ind w:right="567"/>
    </w:pPr>
    <w:rPr>
      <w:sz w:val="24"/>
    </w:rPr>
  </w:style>
  <w:style w:type="paragraph" w:styleId="TOC3">
    <w:name w:val="toc 3"/>
    <w:basedOn w:val="Normal"/>
    <w:next w:val="Normal"/>
    <w:uiPriority w:val="39"/>
    <w:rsid w:val="00D00F4A"/>
    <w:pPr>
      <w:tabs>
        <w:tab w:val="right" w:pos="9639"/>
      </w:tabs>
      <w:spacing w:before="20" w:after="20"/>
    </w:pPr>
    <w:rPr>
      <w:noProof/>
    </w:rPr>
  </w:style>
  <w:style w:type="table" w:styleId="TableGrid">
    <w:name w:val="Table Grid"/>
    <w:basedOn w:val="TableNormal"/>
    <w:rsid w:val="00D00F4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angeTable2Secondary">
    <w:name w:val="Orange Table 2 (Secondary)"/>
    <w:basedOn w:val="OrangeTable1Secondary"/>
    <w:uiPriority w:val="99"/>
    <w:rsid w:val="00D00F4A"/>
    <w:tblPr>
      <w:tblBorders>
        <w:top w:val="none" w:sz="0" w:space="0" w:color="auto"/>
        <w:left w:val="none" w:sz="0" w:space="0" w:color="auto"/>
        <w:bottom w:val="single" w:sz="4" w:space="0" w:color="324851" w:themeColor="accent1"/>
        <w:right w:val="none" w:sz="0" w:space="0" w:color="auto"/>
        <w:insideH w:val="single" w:sz="4" w:space="0" w:color="324851" w:themeColor="accent1"/>
        <w:insideV w:val="none" w:sz="0" w:space="0" w:color="auto"/>
      </w:tblBorders>
    </w:tblPr>
    <w:tcPr>
      <w:shd w:val="clear" w:color="auto" w:fill="auto"/>
    </w:tcPr>
    <w:tblStylePr w:type="firstRow">
      <w:rPr>
        <w:color w:val="auto"/>
      </w:rPr>
      <w:tblPr/>
      <w:trPr>
        <w:tblHeader/>
      </w:trPr>
      <w:tcPr>
        <w:tcBorders>
          <w:top w:val="nil"/>
          <w:left w:val="nil"/>
          <w:bottom w:val="single" w:sz="4" w:space="0" w:color="FFFFFF" w:themeColor="background1"/>
          <w:right w:val="nil"/>
          <w:insideH w:val="single" w:sz="4" w:space="0" w:color="FFFFFF" w:themeColor="background1"/>
          <w:insideV w:val="nil"/>
          <w:tl2br w:val="nil"/>
          <w:tr2bl w:val="nil"/>
        </w:tcBorders>
        <w:shd w:val="clear" w:color="auto" w:fill="324851" w:themeFill="accent1"/>
      </w:tcPr>
    </w:tblStylePr>
    <w:tblStylePr w:type="lastRow">
      <w:rPr>
        <w:b/>
      </w:rPr>
      <w:tblPr/>
      <w:tcPr>
        <w:shd w:val="clear" w:color="auto" w:fill="A1BAC5" w:themeFill="accent1" w:themeFillTint="66"/>
      </w:tcPr>
    </w:tblStylePr>
    <w:tblStylePr w:type="firstCol">
      <w:rPr>
        <w:color w:val="auto"/>
      </w:rPr>
      <w:tblPr/>
      <w:tcPr>
        <w:tcBorders>
          <w:insideH w:val="nil"/>
        </w:tcBorders>
        <w:shd w:val="clear" w:color="auto" w:fill="324851" w:themeFill="accent1"/>
      </w:tcPr>
    </w:tblStylePr>
    <w:tblStylePr w:type="lastCol">
      <w:tblPr/>
      <w:tcPr>
        <w:shd w:val="clear" w:color="auto" w:fill="D0DCE2" w:themeFill="accent1" w:themeFillTint="33"/>
      </w:tcPr>
    </w:tblStylePr>
    <w:tblStylePr w:type="band2Vert">
      <w:tblPr/>
      <w:tcPr>
        <w:shd w:val="clear" w:color="auto" w:fill="D0DCE2" w:themeFill="accent1" w:themeFillTint="33"/>
      </w:tcPr>
    </w:tblStylePr>
    <w:tblStylePr w:type="band2Horz">
      <w:tblPr/>
      <w:tcPr>
        <w:shd w:val="clear" w:color="auto" w:fill="D0DCE2" w:themeFill="accent1" w:themeFillTint="33"/>
      </w:tcPr>
    </w:tblStylePr>
  </w:style>
  <w:style w:type="paragraph" w:customStyle="1" w:styleId="TableHeading">
    <w:name w:val="Table Heading"/>
    <w:basedOn w:val="Normal"/>
    <w:next w:val="BodyText"/>
    <w:uiPriority w:val="3"/>
    <w:qFormat/>
    <w:rsid w:val="00AF22A1"/>
    <w:pPr>
      <w:keepNext/>
      <w:keepLines/>
      <w:spacing w:before="80" w:after="80"/>
      <w:ind w:left="113" w:right="113"/>
    </w:pPr>
    <w:rPr>
      <w:b/>
    </w:rPr>
  </w:style>
  <w:style w:type="paragraph" w:customStyle="1" w:styleId="TableText">
    <w:name w:val="Table Text"/>
    <w:basedOn w:val="Normal"/>
    <w:uiPriority w:val="3"/>
    <w:qFormat/>
    <w:rsid w:val="0092253E"/>
    <w:pPr>
      <w:spacing w:before="60" w:after="60"/>
      <w:ind w:left="113" w:right="113"/>
    </w:pPr>
    <w:rPr>
      <w:sz w:val="18"/>
    </w:rPr>
  </w:style>
  <w:style w:type="paragraph" w:customStyle="1" w:styleId="TableBullet">
    <w:name w:val="Table Bullet"/>
    <w:basedOn w:val="TableText"/>
    <w:uiPriority w:val="5"/>
    <w:qFormat/>
    <w:rsid w:val="00D00F4A"/>
    <w:pPr>
      <w:numPr>
        <w:numId w:val="10"/>
      </w:numPr>
    </w:pPr>
    <w:rPr>
      <w:rFonts w:eastAsia="Times New Roman" w:cs="Times New Roman"/>
      <w:szCs w:val="24"/>
      <w:lang w:eastAsia="en-AU"/>
    </w:rPr>
  </w:style>
  <w:style w:type="paragraph" w:customStyle="1" w:styleId="TableNumber">
    <w:name w:val="Table Number"/>
    <w:basedOn w:val="TableText"/>
    <w:uiPriority w:val="4"/>
    <w:qFormat/>
    <w:rsid w:val="00D00F4A"/>
    <w:pPr>
      <w:numPr>
        <w:numId w:val="11"/>
      </w:numPr>
    </w:pPr>
  </w:style>
  <w:style w:type="character" w:customStyle="1" w:styleId="Heading5Char">
    <w:name w:val="Heading 5 Char"/>
    <w:basedOn w:val="DefaultParagraphFont"/>
    <w:link w:val="Heading5"/>
    <w:rsid w:val="002E6048"/>
    <w:rPr>
      <w:rFonts w:ascii="Gotham Thin" w:eastAsia="Times New Roman" w:hAnsi="Gotham Thin" w:cs="Times New Roman"/>
      <w:bCs/>
      <w:iCs/>
      <w:color w:val="122872"/>
      <w:szCs w:val="26"/>
      <w:lang w:eastAsia="en-AU"/>
    </w:rPr>
  </w:style>
  <w:style w:type="character" w:customStyle="1" w:styleId="Heading6Char">
    <w:name w:val="Heading 6 Char"/>
    <w:basedOn w:val="DefaultParagraphFont"/>
    <w:link w:val="Heading6"/>
    <w:uiPriority w:val="99"/>
    <w:semiHidden/>
    <w:rsid w:val="00D00F4A"/>
    <w:rPr>
      <w:rFonts w:eastAsia="Times New Roman" w:cs="Times New Roman"/>
      <w:bCs/>
      <w:lang w:eastAsia="en-AU"/>
    </w:rPr>
  </w:style>
  <w:style w:type="paragraph" w:styleId="BodyText3">
    <w:name w:val="Body Text 3"/>
    <w:basedOn w:val="BodyText"/>
    <w:link w:val="BodyText3Char"/>
    <w:uiPriority w:val="99"/>
    <w:semiHidden/>
    <w:qFormat/>
    <w:rsid w:val="00D00F4A"/>
    <w:pPr>
      <w:numPr>
        <w:ilvl w:val="2"/>
      </w:numPr>
    </w:pPr>
    <w:rPr>
      <w:szCs w:val="16"/>
    </w:rPr>
  </w:style>
  <w:style w:type="character" w:customStyle="1" w:styleId="BodyText3Char">
    <w:name w:val="Body Text 3 Char"/>
    <w:basedOn w:val="DefaultParagraphFont"/>
    <w:link w:val="BodyText3"/>
    <w:uiPriority w:val="99"/>
    <w:semiHidden/>
    <w:rsid w:val="00D00F4A"/>
    <w:rPr>
      <w:rFonts w:eastAsia="Times New Roman" w:cs="Times New Roman"/>
      <w:szCs w:val="16"/>
      <w:lang w:eastAsia="en-AU"/>
    </w:rPr>
  </w:style>
  <w:style w:type="paragraph" w:styleId="ListParagraph0">
    <w:name w:val="List Paragraph"/>
    <w:basedOn w:val="ListBullet0"/>
    <w:link w:val="ListParagraphChar"/>
    <w:uiPriority w:val="34"/>
    <w:qFormat/>
    <w:rsid w:val="00D00F4A"/>
    <w:pPr>
      <w:numPr>
        <w:numId w:val="7"/>
      </w:numPr>
    </w:pPr>
  </w:style>
  <w:style w:type="paragraph" w:styleId="TOC4">
    <w:name w:val="toc 4"/>
    <w:basedOn w:val="Normal"/>
    <w:next w:val="Normal"/>
    <w:uiPriority w:val="39"/>
    <w:rsid w:val="00D00F4A"/>
    <w:pPr>
      <w:tabs>
        <w:tab w:val="right" w:pos="9639"/>
      </w:tabs>
      <w:ind w:left="567" w:hanging="567"/>
    </w:pPr>
    <w:rPr>
      <w:color w:val="414042" w:themeColor="accent2"/>
      <w:sz w:val="18"/>
    </w:rPr>
  </w:style>
  <w:style w:type="paragraph" w:customStyle="1" w:styleId="NbrHeading5">
    <w:name w:val="Nbr Heading 5"/>
    <w:basedOn w:val="Heading5"/>
    <w:next w:val="BodyText"/>
    <w:uiPriority w:val="9"/>
    <w:qFormat/>
    <w:rsid w:val="00D00F4A"/>
    <w:pPr>
      <w:numPr>
        <w:ilvl w:val="5"/>
        <w:numId w:val="22"/>
      </w:numPr>
    </w:pPr>
  </w:style>
  <w:style w:type="table" w:customStyle="1" w:styleId="GreyTable1">
    <w:name w:val="Grey Table 1"/>
    <w:basedOn w:val="OrangeTable1Secondary"/>
    <w:uiPriority w:val="99"/>
    <w:rsid w:val="00D00F4A"/>
    <w:tblPr>
      <w:tblBorders>
        <w:top w:val="single" w:sz="4" w:space="0" w:color="D5D6D8" w:themeColor="accent6"/>
        <w:left w:val="single" w:sz="4" w:space="0" w:color="D5D6D8" w:themeColor="accent6"/>
        <w:bottom w:val="single" w:sz="4" w:space="0" w:color="D5D6D8" w:themeColor="accent6"/>
        <w:right w:val="single" w:sz="4" w:space="0" w:color="D5D6D8" w:themeColor="accent6"/>
        <w:insideH w:val="single" w:sz="4" w:space="0" w:color="D5D6D8" w:themeColor="accent6"/>
        <w:insideV w:val="single" w:sz="4" w:space="0" w:color="D5D6D8" w:themeColor="accent6"/>
      </w:tblBorders>
    </w:tblPr>
    <w:tcPr>
      <w:shd w:val="clear" w:color="auto" w:fill="auto"/>
    </w:tcPr>
    <w:tblStylePr w:type="firstRow">
      <w:rPr>
        <w:color w:val="FFFFFF" w:themeColor="background1"/>
      </w:rPr>
      <w:tblPr/>
      <w:trPr>
        <w:tblHeader/>
      </w:trPr>
      <w:tcPr>
        <w:tcBorders>
          <w:top w:val="single" w:sz="4" w:space="0" w:color="D5D6D8" w:themeColor="accent6"/>
          <w:left w:val="single" w:sz="4" w:space="0" w:color="D5D6D8" w:themeColor="accent6"/>
          <w:bottom w:val="single" w:sz="4" w:space="0" w:color="D5D6D8" w:themeColor="accent6"/>
          <w:right w:val="single" w:sz="4" w:space="0" w:color="D5D6D8" w:themeColor="accent6"/>
          <w:insideH w:val="single" w:sz="4" w:space="0" w:color="D5D6D8" w:themeColor="accent6"/>
          <w:insideV w:val="single" w:sz="4" w:space="0" w:color="D5D6D8" w:themeColor="accent6"/>
        </w:tcBorders>
        <w:shd w:val="clear" w:color="auto" w:fill="414042" w:themeFill="accent2"/>
      </w:tcPr>
    </w:tblStylePr>
    <w:tblStylePr w:type="lastRow">
      <w:rPr>
        <w:b/>
      </w:rPr>
      <w:tblPr/>
      <w:tcPr>
        <w:shd w:val="clear" w:color="auto" w:fill="D8D8D9" w:themeFill="text2" w:themeFillTint="33"/>
      </w:tcPr>
    </w:tblStylePr>
    <w:tblStylePr w:type="firstCol">
      <w:rPr>
        <w:color w:val="FFFFFF" w:themeColor="background1"/>
      </w:rPr>
      <w:tblPr/>
      <w:tcPr>
        <w:tcBorders>
          <w:insideH w:val="nil"/>
        </w:tcBorders>
        <w:shd w:val="clear" w:color="auto" w:fill="414042" w:themeFill="accent2"/>
      </w:tcPr>
    </w:tblStylePr>
    <w:tblStylePr w:type="lastCol">
      <w:tblPr/>
      <w:tcPr>
        <w:shd w:val="clear" w:color="auto" w:fill="F2F2F2" w:themeFill="background1" w:themeFillShade="F2"/>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paragraph" w:styleId="BalloonText">
    <w:name w:val="Balloon Text"/>
    <w:basedOn w:val="Normal"/>
    <w:link w:val="BalloonTextChar"/>
    <w:uiPriority w:val="99"/>
    <w:semiHidden/>
    <w:rsid w:val="00D00F4A"/>
    <w:rPr>
      <w:rFonts w:ascii="Tahoma" w:hAnsi="Tahoma" w:cs="Tahoma"/>
      <w:sz w:val="16"/>
      <w:szCs w:val="16"/>
    </w:rPr>
  </w:style>
  <w:style w:type="character" w:customStyle="1" w:styleId="BalloonTextChar">
    <w:name w:val="Balloon Text Char"/>
    <w:basedOn w:val="DefaultParagraphFont"/>
    <w:link w:val="BalloonText"/>
    <w:uiPriority w:val="99"/>
    <w:semiHidden/>
    <w:rsid w:val="00D00F4A"/>
    <w:rPr>
      <w:rFonts w:ascii="Tahoma" w:hAnsi="Tahoma" w:cs="Tahoma"/>
      <w:sz w:val="16"/>
      <w:szCs w:val="16"/>
    </w:rPr>
  </w:style>
  <w:style w:type="paragraph" w:styleId="Quote">
    <w:name w:val="Quote"/>
    <w:basedOn w:val="Normal"/>
    <w:next w:val="Normal"/>
    <w:link w:val="QuoteChar"/>
    <w:uiPriority w:val="7"/>
    <w:qFormat/>
    <w:rsid w:val="00D00F4A"/>
    <w:pPr>
      <w:spacing w:before="240" w:after="240"/>
      <w:ind w:left="567" w:right="567"/>
      <w:jc w:val="center"/>
    </w:pPr>
    <w:rPr>
      <w:i/>
      <w:iCs/>
      <w:sz w:val="24"/>
    </w:rPr>
  </w:style>
  <w:style w:type="character" w:customStyle="1" w:styleId="QuoteChar">
    <w:name w:val="Quote Char"/>
    <w:basedOn w:val="DefaultParagraphFont"/>
    <w:link w:val="Quote"/>
    <w:uiPriority w:val="7"/>
    <w:rsid w:val="00D00F4A"/>
    <w:rPr>
      <w:i/>
      <w:iCs/>
      <w:sz w:val="24"/>
    </w:rPr>
  </w:style>
  <w:style w:type="paragraph" w:customStyle="1" w:styleId="FigureCaption">
    <w:name w:val="Figure Caption"/>
    <w:basedOn w:val="Normal"/>
    <w:next w:val="FigureStyle"/>
    <w:uiPriority w:val="6"/>
    <w:qFormat/>
    <w:rsid w:val="0092253E"/>
    <w:pPr>
      <w:keepNext/>
      <w:tabs>
        <w:tab w:val="left" w:pos="1134"/>
      </w:tabs>
      <w:spacing w:before="240" w:after="120"/>
      <w:ind w:left="1134" w:hanging="1134"/>
    </w:pPr>
    <w:rPr>
      <w:color w:val="324851"/>
      <w:sz w:val="18"/>
    </w:rPr>
  </w:style>
  <w:style w:type="paragraph" w:customStyle="1" w:styleId="TableCaption">
    <w:name w:val="Table Caption"/>
    <w:basedOn w:val="Caption"/>
    <w:uiPriority w:val="6"/>
    <w:qFormat/>
    <w:rsid w:val="0092253E"/>
    <w:pPr>
      <w:keepNext/>
    </w:pPr>
    <w:rPr>
      <w:b w:val="0"/>
      <w:color w:val="324851"/>
      <w:sz w:val="18"/>
    </w:rPr>
  </w:style>
  <w:style w:type="paragraph" w:customStyle="1" w:styleId="FigureStyle">
    <w:name w:val="Figure Style"/>
    <w:basedOn w:val="BodyText"/>
    <w:next w:val="BodyText"/>
    <w:uiPriority w:val="6"/>
    <w:qFormat/>
    <w:rsid w:val="0092253E"/>
    <w:pPr>
      <w:spacing w:after="240" w:line="240" w:lineRule="auto"/>
      <w:jc w:val="center"/>
    </w:pPr>
    <w:rPr>
      <w:sz w:val="18"/>
    </w:rPr>
  </w:style>
  <w:style w:type="paragraph" w:styleId="TOC5">
    <w:name w:val="toc 5"/>
    <w:basedOn w:val="TOC1"/>
    <w:next w:val="Normal"/>
    <w:uiPriority w:val="39"/>
    <w:rsid w:val="00D00F4A"/>
    <w:pPr>
      <w:tabs>
        <w:tab w:val="left" w:pos="1134"/>
      </w:tabs>
      <w:ind w:left="1134" w:hanging="1134"/>
    </w:pPr>
    <w:rPr>
      <w:noProof/>
    </w:rPr>
  </w:style>
  <w:style w:type="paragraph" w:styleId="TOC6">
    <w:name w:val="toc 6"/>
    <w:basedOn w:val="TOC2"/>
    <w:next w:val="Normal"/>
    <w:uiPriority w:val="39"/>
    <w:rsid w:val="00DA2884"/>
    <w:pPr>
      <w:tabs>
        <w:tab w:val="left" w:pos="1134"/>
      </w:tabs>
      <w:ind w:left="1134" w:right="0" w:hanging="1134"/>
    </w:pPr>
    <w:rPr>
      <w:noProof/>
    </w:rPr>
  </w:style>
  <w:style w:type="paragraph" w:styleId="TOC7">
    <w:name w:val="toc 7"/>
    <w:basedOn w:val="TOC3"/>
    <w:next w:val="Normal"/>
    <w:uiPriority w:val="39"/>
    <w:rsid w:val="00D00F4A"/>
    <w:pPr>
      <w:tabs>
        <w:tab w:val="left" w:pos="1134"/>
      </w:tabs>
      <w:ind w:left="1134" w:hanging="1134"/>
    </w:pPr>
  </w:style>
  <w:style w:type="paragraph" w:styleId="TOC8">
    <w:name w:val="toc 8"/>
    <w:basedOn w:val="TOC4"/>
    <w:next w:val="Normal"/>
    <w:uiPriority w:val="39"/>
    <w:rsid w:val="00D00F4A"/>
    <w:pPr>
      <w:tabs>
        <w:tab w:val="left" w:pos="1134"/>
      </w:tabs>
      <w:spacing w:before="20" w:after="20"/>
      <w:ind w:left="1134" w:hanging="1134"/>
    </w:pPr>
    <w:rPr>
      <w:sz w:val="16"/>
    </w:rPr>
  </w:style>
  <w:style w:type="paragraph" w:styleId="TOC9">
    <w:name w:val="toc 9"/>
    <w:basedOn w:val="Normal"/>
    <w:next w:val="Normal"/>
    <w:uiPriority w:val="39"/>
    <w:rsid w:val="00D00F4A"/>
    <w:pPr>
      <w:tabs>
        <w:tab w:val="left" w:pos="1985"/>
        <w:tab w:val="right" w:leader="dot" w:pos="9639"/>
      </w:tabs>
      <w:spacing w:before="120" w:after="40"/>
      <w:ind w:left="1985" w:hanging="1985"/>
    </w:pPr>
    <w:rPr>
      <w:b/>
      <w:caps/>
      <w:noProof/>
      <w:sz w:val="24"/>
    </w:rPr>
  </w:style>
  <w:style w:type="numbering" w:customStyle="1" w:styleId="ListNumber">
    <w:name w:val="List_Number"/>
    <w:uiPriority w:val="99"/>
    <w:rsid w:val="00D00F4A"/>
    <w:pPr>
      <w:numPr>
        <w:numId w:val="5"/>
      </w:numPr>
    </w:pPr>
  </w:style>
  <w:style w:type="numbering" w:customStyle="1" w:styleId="ListParagraph">
    <w:name w:val="List_Paragraph"/>
    <w:uiPriority w:val="99"/>
    <w:rsid w:val="00D00F4A"/>
    <w:pPr>
      <w:numPr>
        <w:numId w:val="7"/>
      </w:numPr>
    </w:pPr>
  </w:style>
  <w:style w:type="paragraph" w:styleId="Caption">
    <w:name w:val="caption"/>
    <w:basedOn w:val="Normal"/>
    <w:next w:val="Normal"/>
    <w:link w:val="CaptionChar"/>
    <w:uiPriority w:val="35"/>
    <w:qFormat/>
    <w:rsid w:val="00D00F4A"/>
    <w:pPr>
      <w:tabs>
        <w:tab w:val="left" w:pos="1134"/>
      </w:tabs>
      <w:spacing w:before="240" w:after="120"/>
      <w:ind w:left="1134" w:hanging="1134"/>
    </w:pPr>
    <w:rPr>
      <w:b/>
    </w:rPr>
  </w:style>
  <w:style w:type="paragraph" w:customStyle="1" w:styleId="ListAlpha0">
    <w:name w:val="List Alpha"/>
    <w:basedOn w:val="BodyText"/>
    <w:uiPriority w:val="2"/>
    <w:qFormat/>
    <w:rsid w:val="00D00F4A"/>
    <w:pPr>
      <w:numPr>
        <w:numId w:val="1"/>
      </w:numPr>
    </w:pPr>
  </w:style>
  <w:style w:type="numbering" w:customStyle="1" w:styleId="ListAlpha">
    <w:name w:val="List_Alpha"/>
    <w:uiPriority w:val="99"/>
    <w:rsid w:val="00D00F4A"/>
    <w:pPr>
      <w:numPr>
        <w:numId w:val="1"/>
      </w:numPr>
    </w:pPr>
  </w:style>
  <w:style w:type="paragraph" w:styleId="TableofAuthorities">
    <w:name w:val="table of authorities"/>
    <w:basedOn w:val="Normal"/>
    <w:next w:val="Normal"/>
    <w:uiPriority w:val="99"/>
    <w:semiHidden/>
    <w:rsid w:val="00D00F4A"/>
    <w:pPr>
      <w:ind w:left="200" w:hanging="200"/>
    </w:pPr>
  </w:style>
  <w:style w:type="paragraph" w:styleId="TableofFigures">
    <w:name w:val="table of figures"/>
    <w:basedOn w:val="TOC3"/>
    <w:next w:val="Normal"/>
    <w:uiPriority w:val="99"/>
    <w:rsid w:val="00D00F4A"/>
    <w:pPr>
      <w:tabs>
        <w:tab w:val="left" w:pos="1134"/>
        <w:tab w:val="right" w:leader="dot" w:pos="9639"/>
      </w:tabs>
      <w:ind w:left="1134" w:hanging="1134"/>
    </w:pPr>
    <w:rPr>
      <w:sz w:val="24"/>
    </w:rPr>
  </w:style>
  <w:style w:type="table" w:customStyle="1" w:styleId="OrangeTable1Secondary">
    <w:name w:val="Orange Table 1 (Secondary)"/>
    <w:basedOn w:val="TableNormal"/>
    <w:uiPriority w:val="99"/>
    <w:rsid w:val="00D00F4A"/>
    <w:pPr>
      <w:spacing w:before="0" w:after="0"/>
    </w:pPr>
    <w:tblPr>
      <w:tblStyleRowBandSize w:val="1"/>
      <w:tblStyleColBandSize w:val="1"/>
      <w:tblBorders>
        <w:top w:val="single" w:sz="4" w:space="0" w:color="192328" w:themeColor="accent1" w:themeShade="80"/>
        <w:left w:val="single" w:sz="4" w:space="0" w:color="192328" w:themeColor="accent1" w:themeShade="80"/>
        <w:bottom w:val="single" w:sz="4" w:space="0" w:color="192328" w:themeColor="accent1" w:themeShade="80"/>
        <w:right w:val="single" w:sz="4" w:space="0" w:color="192328" w:themeColor="accent1" w:themeShade="80"/>
        <w:insideH w:val="single" w:sz="4" w:space="0" w:color="192328" w:themeColor="accent1" w:themeShade="80"/>
        <w:insideV w:val="single" w:sz="4" w:space="0" w:color="192328" w:themeColor="accent1" w:themeShade="80"/>
      </w:tblBorders>
      <w:tblCellMar>
        <w:left w:w="0" w:type="dxa"/>
        <w:right w:w="0" w:type="dxa"/>
      </w:tblCellMar>
    </w:tblPr>
    <w:trPr>
      <w:cantSplit/>
    </w:trPr>
    <w:tcPr>
      <w:shd w:val="clear" w:color="auto" w:fill="auto"/>
    </w:tcPr>
    <w:tblStylePr w:type="firstRow">
      <w:rPr>
        <w:color w:val="auto"/>
      </w:rPr>
      <w:tblPr/>
      <w:trPr>
        <w:tblHeader/>
      </w:trPr>
      <w:tcPr>
        <w:tcBorders>
          <w:top w:val="single" w:sz="4" w:space="0" w:color="192328" w:themeColor="accent1" w:themeShade="80"/>
          <w:left w:val="single" w:sz="4" w:space="0" w:color="192328" w:themeColor="accent1" w:themeShade="80"/>
          <w:bottom w:val="single" w:sz="4" w:space="0" w:color="192328" w:themeColor="accent1" w:themeShade="80"/>
          <w:right w:val="single" w:sz="4" w:space="0" w:color="192328" w:themeColor="accent1" w:themeShade="80"/>
          <w:insideH w:val="single" w:sz="4" w:space="0" w:color="192328" w:themeColor="accent1" w:themeShade="80"/>
          <w:insideV w:val="single" w:sz="4" w:space="0" w:color="192328" w:themeColor="accent1" w:themeShade="80"/>
        </w:tcBorders>
        <w:shd w:val="clear" w:color="auto" w:fill="324851" w:themeFill="accent1"/>
      </w:tcPr>
    </w:tblStylePr>
    <w:tblStylePr w:type="lastRow">
      <w:rPr>
        <w:b/>
      </w:rPr>
      <w:tblPr/>
      <w:tcPr>
        <w:shd w:val="clear" w:color="auto" w:fill="C4D4DA" w:themeFill="accent1" w:themeFillTint="40"/>
      </w:tcPr>
    </w:tblStylePr>
    <w:tblStylePr w:type="firstCol">
      <w:rPr>
        <w:color w:val="auto"/>
      </w:rPr>
      <w:tblPr/>
      <w:tcPr>
        <w:tcBorders>
          <w:insideH w:val="nil"/>
        </w:tcBorders>
        <w:shd w:val="clear" w:color="auto" w:fill="324851" w:themeFill="accent1"/>
      </w:tcPr>
    </w:tblStylePr>
    <w:tblStylePr w:type="lastCol">
      <w:tblPr/>
      <w:tcPr>
        <w:shd w:val="clear" w:color="auto" w:fill="A1BAC5" w:themeFill="accent1" w:themeFillTint="66"/>
      </w:tcPr>
    </w:tblStylePr>
    <w:tblStylePr w:type="band2Vert">
      <w:tblPr/>
      <w:tcPr>
        <w:shd w:val="clear" w:color="auto" w:fill="E7EDF0" w:themeFill="accent1" w:themeFillTint="1A"/>
      </w:tcPr>
    </w:tblStylePr>
    <w:tblStylePr w:type="band2Horz">
      <w:tblPr/>
      <w:tcPr>
        <w:shd w:val="clear" w:color="auto" w:fill="E7EDF0" w:themeFill="accent1" w:themeFillTint="1A"/>
      </w:tcPr>
    </w:tblStylePr>
  </w:style>
  <w:style w:type="table" w:customStyle="1" w:styleId="GreyTable2">
    <w:name w:val="Grey Table 2"/>
    <w:basedOn w:val="OrangeTable2Secondary"/>
    <w:uiPriority w:val="99"/>
    <w:rsid w:val="00D00F4A"/>
    <w:tblPr>
      <w:tblBorders>
        <w:top w:val="single" w:sz="4" w:space="0" w:color="D5D6D8" w:themeColor="accent6"/>
        <w:bottom w:val="single" w:sz="4" w:space="0" w:color="D5D6D8" w:themeColor="accent6"/>
        <w:insideH w:val="single" w:sz="4" w:space="0" w:color="D5D6D8" w:themeColor="accent6"/>
      </w:tblBorders>
    </w:tblPr>
    <w:tcPr>
      <w:shd w:val="clear" w:color="auto" w:fill="auto"/>
    </w:tcPr>
    <w:tblStylePr w:type="firstRow">
      <w:rPr>
        <w:color w:val="FFFFFF" w:themeColor="background1"/>
      </w:rPr>
      <w:tblPr/>
      <w:trPr>
        <w:tblHeader/>
      </w:trPr>
      <w:tcPr>
        <w:tcBorders>
          <w:top w:val="nil"/>
          <w:left w:val="nil"/>
          <w:bottom w:val="single" w:sz="4" w:space="0" w:color="FFFFFF" w:themeColor="background1"/>
          <w:right w:val="nil"/>
          <w:insideH w:val="single" w:sz="4" w:space="0" w:color="FFFFFF" w:themeColor="background1"/>
          <w:insideV w:val="nil"/>
          <w:tl2br w:val="nil"/>
          <w:tr2bl w:val="nil"/>
        </w:tcBorders>
        <w:shd w:val="clear" w:color="auto" w:fill="414042" w:themeFill="accent2"/>
      </w:tcPr>
    </w:tblStylePr>
    <w:tblStylePr w:type="lastRow">
      <w:rPr>
        <w:b/>
      </w:rPr>
      <w:tblPr/>
      <w:tcPr>
        <w:shd w:val="clear" w:color="auto" w:fill="D8D8D9" w:themeFill="accent2" w:themeFillTint="33"/>
      </w:tcPr>
    </w:tblStylePr>
    <w:tblStylePr w:type="firstCol">
      <w:rPr>
        <w:color w:val="FFFFFF" w:themeColor="background1"/>
      </w:rPr>
      <w:tblPr/>
      <w:tcPr>
        <w:tcBorders>
          <w:insideH w:val="nil"/>
        </w:tcBorders>
        <w:shd w:val="clear" w:color="auto" w:fill="414042" w:themeFill="accent2"/>
      </w:tcPr>
    </w:tblStylePr>
    <w:tblStylePr w:type="lastCol">
      <w:tblPr/>
      <w:tcPr>
        <w:shd w:val="clear" w:color="auto" w:fill="F2F2F2" w:themeFill="background1" w:themeFillShade="F2"/>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character" w:styleId="FollowedHyperlink">
    <w:name w:val="FollowedHyperlink"/>
    <w:basedOn w:val="DefaultParagraphFont"/>
    <w:uiPriority w:val="99"/>
    <w:rsid w:val="00D00F4A"/>
    <w:rPr>
      <w:color w:val="324851" w:themeColor="accent1"/>
      <w:u w:val="single"/>
    </w:rPr>
  </w:style>
  <w:style w:type="paragraph" w:customStyle="1" w:styleId="AppendixTitle">
    <w:name w:val="Appendix Title"/>
    <w:basedOn w:val="Heading1"/>
    <w:next w:val="BodyText"/>
    <w:uiPriority w:val="13"/>
    <w:qFormat/>
    <w:rsid w:val="00330BBD"/>
    <w:pPr>
      <w:numPr>
        <w:numId w:val="2"/>
      </w:numPr>
      <w:spacing w:before="4000"/>
    </w:pPr>
    <w:rPr>
      <w:rFonts w:cs="Times New Roman"/>
      <w:sz w:val="40"/>
      <w:szCs w:val="24"/>
    </w:rPr>
  </w:style>
  <w:style w:type="paragraph" w:customStyle="1" w:styleId="AppendixHeading1">
    <w:name w:val="Appendix Heading 1"/>
    <w:basedOn w:val="Heading2"/>
    <w:next w:val="BodyText"/>
    <w:uiPriority w:val="14"/>
    <w:qFormat/>
    <w:rsid w:val="00D00F4A"/>
    <w:pPr>
      <w:tabs>
        <w:tab w:val="left" w:pos="851"/>
      </w:tabs>
    </w:pPr>
    <w:rPr>
      <w:iCs w:val="0"/>
    </w:rPr>
  </w:style>
  <w:style w:type="paragraph" w:customStyle="1" w:styleId="AppendixHeading2">
    <w:name w:val="Appendix Heading 2"/>
    <w:basedOn w:val="Heading3"/>
    <w:next w:val="BodyText"/>
    <w:uiPriority w:val="14"/>
    <w:qFormat/>
    <w:rsid w:val="00D00F4A"/>
    <w:pPr>
      <w:tabs>
        <w:tab w:val="left" w:pos="851"/>
      </w:tabs>
    </w:pPr>
  </w:style>
  <w:style w:type="paragraph" w:customStyle="1" w:styleId="ListAlpha2">
    <w:name w:val="List Alpha 2"/>
    <w:basedOn w:val="ListAlpha0"/>
    <w:uiPriority w:val="19"/>
    <w:rsid w:val="00D00F4A"/>
    <w:pPr>
      <w:numPr>
        <w:ilvl w:val="1"/>
      </w:numPr>
    </w:pPr>
  </w:style>
  <w:style w:type="paragraph" w:customStyle="1" w:styleId="ListAlpha3">
    <w:name w:val="List Alpha 3"/>
    <w:basedOn w:val="ListAlpha2"/>
    <w:uiPriority w:val="19"/>
    <w:rsid w:val="00D00F4A"/>
    <w:pPr>
      <w:numPr>
        <w:ilvl w:val="2"/>
      </w:numPr>
    </w:pPr>
  </w:style>
  <w:style w:type="paragraph" w:customStyle="1" w:styleId="ListAlpha4">
    <w:name w:val="List Alpha 4"/>
    <w:basedOn w:val="ListAlpha3"/>
    <w:uiPriority w:val="19"/>
    <w:rsid w:val="00D00F4A"/>
    <w:pPr>
      <w:numPr>
        <w:ilvl w:val="3"/>
      </w:numPr>
    </w:pPr>
  </w:style>
  <w:style w:type="paragraph" w:customStyle="1" w:styleId="ListAlpha6">
    <w:name w:val="List Alpha 6"/>
    <w:basedOn w:val="ListAlpha4"/>
    <w:uiPriority w:val="19"/>
    <w:rsid w:val="00D00F4A"/>
    <w:pPr>
      <w:numPr>
        <w:ilvl w:val="5"/>
      </w:numPr>
    </w:pPr>
  </w:style>
  <w:style w:type="paragraph" w:customStyle="1" w:styleId="ListAlpha5">
    <w:name w:val="List Alpha 5"/>
    <w:basedOn w:val="ListAlpha6"/>
    <w:uiPriority w:val="19"/>
    <w:rsid w:val="00D00F4A"/>
    <w:pPr>
      <w:numPr>
        <w:ilvl w:val="4"/>
      </w:numPr>
    </w:pPr>
  </w:style>
  <w:style w:type="paragraph" w:styleId="ListBullet2">
    <w:name w:val="List Bullet 2"/>
    <w:basedOn w:val="ListBullet0"/>
    <w:uiPriority w:val="19"/>
    <w:rsid w:val="00D00F4A"/>
    <w:pPr>
      <w:numPr>
        <w:ilvl w:val="1"/>
      </w:numPr>
    </w:pPr>
  </w:style>
  <w:style w:type="paragraph" w:styleId="ListBullet3">
    <w:name w:val="List Bullet 3"/>
    <w:basedOn w:val="ListBullet0"/>
    <w:uiPriority w:val="19"/>
    <w:rsid w:val="00D00F4A"/>
    <w:pPr>
      <w:numPr>
        <w:ilvl w:val="2"/>
      </w:numPr>
    </w:pPr>
  </w:style>
  <w:style w:type="paragraph" w:styleId="ListBullet4">
    <w:name w:val="List Bullet 4"/>
    <w:basedOn w:val="ListBullet0"/>
    <w:uiPriority w:val="19"/>
    <w:rsid w:val="00D00F4A"/>
    <w:pPr>
      <w:numPr>
        <w:ilvl w:val="3"/>
      </w:numPr>
    </w:pPr>
  </w:style>
  <w:style w:type="paragraph" w:styleId="ListBullet5">
    <w:name w:val="List Bullet 5"/>
    <w:basedOn w:val="ListBullet0"/>
    <w:uiPriority w:val="19"/>
    <w:rsid w:val="00D00F4A"/>
    <w:pPr>
      <w:numPr>
        <w:ilvl w:val="4"/>
      </w:numPr>
    </w:pPr>
  </w:style>
  <w:style w:type="paragraph" w:customStyle="1" w:styleId="ListBullet6">
    <w:name w:val="List Bullet 6"/>
    <w:basedOn w:val="ListBullet0"/>
    <w:uiPriority w:val="19"/>
    <w:rsid w:val="00D00F4A"/>
    <w:pPr>
      <w:numPr>
        <w:ilvl w:val="5"/>
      </w:numPr>
    </w:pPr>
  </w:style>
  <w:style w:type="paragraph" w:styleId="ListNumber2">
    <w:name w:val="List Number 2"/>
    <w:basedOn w:val="ListNumber0"/>
    <w:uiPriority w:val="19"/>
    <w:rsid w:val="00D00F4A"/>
    <w:pPr>
      <w:numPr>
        <w:ilvl w:val="1"/>
      </w:numPr>
    </w:pPr>
  </w:style>
  <w:style w:type="paragraph" w:styleId="ListNumber3">
    <w:name w:val="List Number 3"/>
    <w:basedOn w:val="ListNumber0"/>
    <w:uiPriority w:val="19"/>
    <w:rsid w:val="00D00F4A"/>
    <w:pPr>
      <w:numPr>
        <w:ilvl w:val="2"/>
      </w:numPr>
    </w:pPr>
  </w:style>
  <w:style w:type="paragraph" w:styleId="ListNumber4">
    <w:name w:val="List Number 4"/>
    <w:basedOn w:val="ListNumber0"/>
    <w:uiPriority w:val="19"/>
    <w:rsid w:val="00D00F4A"/>
    <w:pPr>
      <w:numPr>
        <w:ilvl w:val="3"/>
      </w:numPr>
    </w:pPr>
  </w:style>
  <w:style w:type="paragraph" w:styleId="ListNumber5">
    <w:name w:val="List Number 5"/>
    <w:basedOn w:val="ListNumber0"/>
    <w:uiPriority w:val="19"/>
    <w:rsid w:val="00D00F4A"/>
    <w:pPr>
      <w:numPr>
        <w:ilvl w:val="4"/>
      </w:numPr>
    </w:pPr>
  </w:style>
  <w:style w:type="paragraph" w:customStyle="1" w:styleId="ListNumber6">
    <w:name w:val="List Number 6"/>
    <w:basedOn w:val="ListNumber0"/>
    <w:uiPriority w:val="19"/>
    <w:rsid w:val="00D00F4A"/>
    <w:pPr>
      <w:numPr>
        <w:ilvl w:val="5"/>
      </w:numPr>
    </w:pPr>
  </w:style>
  <w:style w:type="paragraph" w:customStyle="1" w:styleId="ListParagraph2">
    <w:name w:val="List Paragraph 2"/>
    <w:basedOn w:val="ListParagraph0"/>
    <w:uiPriority w:val="19"/>
    <w:qFormat/>
    <w:rsid w:val="00D00F4A"/>
    <w:pPr>
      <w:numPr>
        <w:ilvl w:val="1"/>
      </w:numPr>
    </w:pPr>
  </w:style>
  <w:style w:type="paragraph" w:customStyle="1" w:styleId="ListParagraph3">
    <w:name w:val="List Paragraph 3"/>
    <w:basedOn w:val="ListParagraph0"/>
    <w:uiPriority w:val="19"/>
    <w:rsid w:val="00D00F4A"/>
    <w:pPr>
      <w:numPr>
        <w:ilvl w:val="2"/>
      </w:numPr>
    </w:pPr>
  </w:style>
  <w:style w:type="paragraph" w:customStyle="1" w:styleId="ListParagraph4">
    <w:name w:val="List Paragraph 4"/>
    <w:basedOn w:val="ListParagraph0"/>
    <w:uiPriority w:val="19"/>
    <w:rsid w:val="00D00F4A"/>
    <w:pPr>
      <w:numPr>
        <w:ilvl w:val="3"/>
      </w:numPr>
    </w:pPr>
  </w:style>
  <w:style w:type="paragraph" w:customStyle="1" w:styleId="ListParagraph5">
    <w:name w:val="List Paragraph 5"/>
    <w:basedOn w:val="ListParagraph0"/>
    <w:uiPriority w:val="19"/>
    <w:rsid w:val="00D00F4A"/>
    <w:pPr>
      <w:numPr>
        <w:ilvl w:val="4"/>
      </w:numPr>
    </w:pPr>
  </w:style>
  <w:style w:type="paragraph" w:customStyle="1" w:styleId="ListParagraph6">
    <w:name w:val="List Paragraph 6"/>
    <w:basedOn w:val="ListParagraph0"/>
    <w:uiPriority w:val="19"/>
    <w:rsid w:val="00D00F4A"/>
    <w:pPr>
      <w:numPr>
        <w:ilvl w:val="5"/>
      </w:numPr>
    </w:pPr>
  </w:style>
  <w:style w:type="numbering" w:customStyle="1" w:styleId="ListBullet">
    <w:name w:val="List_Bullet"/>
    <w:uiPriority w:val="99"/>
    <w:rsid w:val="00D00F4A"/>
    <w:pPr>
      <w:numPr>
        <w:numId w:val="3"/>
      </w:numPr>
    </w:pPr>
  </w:style>
  <w:style w:type="numbering" w:customStyle="1" w:styleId="ListNumberedHeadings">
    <w:name w:val="List_NumberedHeadings"/>
    <w:uiPriority w:val="99"/>
    <w:rsid w:val="00D00F4A"/>
    <w:pPr>
      <w:numPr>
        <w:numId w:val="6"/>
      </w:numPr>
    </w:pPr>
  </w:style>
  <w:style w:type="numbering" w:customStyle="1" w:styleId="ListTableBullet">
    <w:name w:val="List_TableBullet"/>
    <w:uiPriority w:val="99"/>
    <w:rsid w:val="00D00F4A"/>
    <w:pPr>
      <w:numPr>
        <w:numId w:val="8"/>
      </w:numPr>
    </w:pPr>
  </w:style>
  <w:style w:type="numbering" w:customStyle="1" w:styleId="ListTableNumber">
    <w:name w:val="List_TableNumber"/>
    <w:uiPriority w:val="99"/>
    <w:rsid w:val="00D00F4A"/>
    <w:pPr>
      <w:numPr>
        <w:numId w:val="9"/>
      </w:numPr>
    </w:pPr>
  </w:style>
  <w:style w:type="paragraph" w:customStyle="1" w:styleId="TableBullet2">
    <w:name w:val="Table Bullet 2"/>
    <w:basedOn w:val="TableBullet"/>
    <w:uiPriority w:val="19"/>
    <w:rsid w:val="00D00F4A"/>
    <w:pPr>
      <w:numPr>
        <w:ilvl w:val="1"/>
      </w:numPr>
    </w:pPr>
  </w:style>
  <w:style w:type="paragraph" w:customStyle="1" w:styleId="TableNumber2">
    <w:name w:val="Table Number 2"/>
    <w:basedOn w:val="TableNumber"/>
    <w:uiPriority w:val="19"/>
    <w:rsid w:val="00D00F4A"/>
    <w:pPr>
      <w:numPr>
        <w:ilvl w:val="1"/>
      </w:numPr>
    </w:pPr>
  </w:style>
  <w:style w:type="paragraph" w:customStyle="1" w:styleId="BodyText4">
    <w:name w:val="Body Text 4"/>
    <w:basedOn w:val="BodyText3"/>
    <w:uiPriority w:val="99"/>
    <w:semiHidden/>
    <w:qFormat/>
    <w:rsid w:val="00D00F4A"/>
    <w:pPr>
      <w:numPr>
        <w:ilvl w:val="3"/>
      </w:numPr>
    </w:pPr>
  </w:style>
  <w:style w:type="paragraph" w:customStyle="1" w:styleId="BodyText5">
    <w:name w:val="Body Text 5"/>
    <w:basedOn w:val="BodyText4"/>
    <w:uiPriority w:val="99"/>
    <w:semiHidden/>
    <w:qFormat/>
    <w:rsid w:val="00D00F4A"/>
    <w:pPr>
      <w:numPr>
        <w:ilvl w:val="4"/>
      </w:numPr>
    </w:pPr>
  </w:style>
  <w:style w:type="paragraph" w:customStyle="1" w:styleId="BodyText6">
    <w:name w:val="Body Text 6"/>
    <w:basedOn w:val="BodyText5"/>
    <w:uiPriority w:val="99"/>
    <w:semiHidden/>
    <w:qFormat/>
    <w:rsid w:val="00D00F4A"/>
    <w:pPr>
      <w:numPr>
        <w:ilvl w:val="5"/>
      </w:numPr>
    </w:pPr>
  </w:style>
  <w:style w:type="paragraph" w:customStyle="1" w:styleId="SectionTitle">
    <w:name w:val="Section Title"/>
    <w:uiPriority w:val="13"/>
    <w:qFormat/>
    <w:rsid w:val="002E6048"/>
    <w:pPr>
      <w:pageBreakBefore/>
      <w:spacing w:before="4000" w:after="360"/>
    </w:pPr>
    <w:rPr>
      <w:rFonts w:ascii="Gotham" w:eastAsia="Times New Roman" w:hAnsi="Gotham" w:cs="Arial"/>
      <w:bCs/>
      <w:caps/>
      <w:color w:val="324851"/>
      <w:sz w:val="56"/>
      <w:szCs w:val="32"/>
      <w:lang w:eastAsia="en-AU"/>
    </w:rPr>
  </w:style>
  <w:style w:type="character" w:styleId="PlaceholderText">
    <w:name w:val="Placeholder Text"/>
    <w:basedOn w:val="DefaultParagraphFont"/>
    <w:uiPriority w:val="99"/>
    <w:semiHidden/>
    <w:rsid w:val="00D00F4A"/>
    <w:rPr>
      <w:color w:val="808080"/>
    </w:rPr>
  </w:style>
  <w:style w:type="table" w:customStyle="1" w:styleId="TableNoBorders">
    <w:name w:val="Table No Borders"/>
    <w:basedOn w:val="TableNormal"/>
    <w:uiPriority w:val="99"/>
    <w:rsid w:val="00D00F4A"/>
    <w:pPr>
      <w:spacing w:before="0" w:after="0"/>
    </w:pPr>
    <w:tblPr/>
  </w:style>
  <w:style w:type="paragraph" w:customStyle="1" w:styleId="CoverDetails">
    <w:name w:val="Cover Details"/>
    <w:basedOn w:val="Subtitle"/>
    <w:uiPriority w:val="11"/>
    <w:rsid w:val="00D00F4A"/>
    <w:pPr>
      <w:spacing w:after="240"/>
    </w:pPr>
    <w:rPr>
      <w:caps w:val="0"/>
      <w:color w:val="324851" w:themeColor="accent1"/>
      <w:sz w:val="32"/>
    </w:rPr>
  </w:style>
  <w:style w:type="numbering" w:customStyle="1" w:styleId="ListAppendix">
    <w:name w:val="List_Appendix"/>
    <w:uiPriority w:val="99"/>
    <w:rsid w:val="00D00F4A"/>
    <w:pPr>
      <w:numPr>
        <w:numId w:val="2"/>
      </w:numPr>
    </w:pPr>
  </w:style>
  <w:style w:type="paragraph" w:styleId="FootnoteText">
    <w:name w:val="footnote text"/>
    <w:basedOn w:val="Normal"/>
    <w:link w:val="FootnoteTextChar"/>
    <w:uiPriority w:val="99"/>
    <w:rsid w:val="00D00F4A"/>
    <w:rPr>
      <w:sz w:val="18"/>
      <w:szCs w:val="20"/>
    </w:rPr>
  </w:style>
  <w:style w:type="character" w:customStyle="1" w:styleId="FootnoteTextChar">
    <w:name w:val="Footnote Text Char"/>
    <w:basedOn w:val="DefaultParagraphFont"/>
    <w:link w:val="FootnoteText"/>
    <w:uiPriority w:val="99"/>
    <w:rsid w:val="00D00F4A"/>
    <w:rPr>
      <w:sz w:val="18"/>
      <w:szCs w:val="20"/>
    </w:rPr>
  </w:style>
  <w:style w:type="character" w:styleId="FootnoteReference">
    <w:name w:val="footnote reference"/>
    <w:basedOn w:val="DefaultParagraphFont"/>
    <w:uiPriority w:val="99"/>
    <w:rsid w:val="00D00F4A"/>
    <w:rPr>
      <w:color w:val="auto"/>
      <w:vertAlign w:val="superscript"/>
    </w:rPr>
  </w:style>
  <w:style w:type="paragraph" w:customStyle="1" w:styleId="BodyTextLeft">
    <w:name w:val="Body Text Left"/>
    <w:basedOn w:val="BodyText"/>
    <w:qFormat/>
    <w:rsid w:val="0092253E"/>
  </w:style>
  <w:style w:type="paragraph" w:customStyle="1" w:styleId="ChapterHeading">
    <w:name w:val="Chapter Heading"/>
    <w:basedOn w:val="Normal"/>
    <w:next w:val="Normal"/>
    <w:uiPriority w:val="11"/>
    <w:qFormat/>
    <w:rsid w:val="002E6048"/>
    <w:pPr>
      <w:pageBreakBefore/>
      <w:numPr>
        <w:numId w:val="22"/>
      </w:numPr>
      <w:spacing w:before="6400" w:after="240" w:line="300" w:lineRule="auto"/>
    </w:pPr>
    <w:rPr>
      <w:rFonts w:ascii="Gotham" w:eastAsia="Times New Roman" w:hAnsi="Gotham" w:cs="Arial"/>
      <w:bCs/>
      <w:caps/>
      <w:color w:val="324851"/>
      <w:sz w:val="32"/>
      <w:szCs w:val="32"/>
      <w:lang w:eastAsia="en-AU"/>
    </w:rPr>
  </w:style>
  <w:style w:type="numbering" w:customStyle="1" w:styleId="ListChapter">
    <w:name w:val="List_Chapter"/>
    <w:uiPriority w:val="99"/>
    <w:rsid w:val="00157388"/>
    <w:pPr>
      <w:numPr>
        <w:numId w:val="4"/>
      </w:numPr>
    </w:pPr>
  </w:style>
  <w:style w:type="paragraph" w:customStyle="1" w:styleId="Chaptertext">
    <w:name w:val="Chapter text"/>
    <w:basedOn w:val="BodyText"/>
    <w:uiPriority w:val="11"/>
    <w:qFormat/>
    <w:rsid w:val="00C828D7"/>
    <w:rPr>
      <w:color w:val="414042" w:themeColor="accent2"/>
    </w:rPr>
  </w:style>
  <w:style w:type="character" w:customStyle="1" w:styleId="ChapterSubheading">
    <w:name w:val="Chapter Subheading"/>
    <w:basedOn w:val="DefaultParagraphFont"/>
    <w:uiPriority w:val="11"/>
    <w:qFormat/>
    <w:rsid w:val="002E6048"/>
    <w:rPr>
      <w:rFonts w:ascii="Gotham" w:hAnsi="Gotham"/>
      <w:caps/>
      <w:smallCaps w:val="0"/>
      <w:color w:val="122872"/>
      <w:sz w:val="36"/>
    </w:rPr>
  </w:style>
  <w:style w:type="paragraph" w:customStyle="1" w:styleId="FooterTextCentre">
    <w:name w:val="Footer Text Centre"/>
    <w:basedOn w:val="Normal"/>
    <w:uiPriority w:val="99"/>
    <w:qFormat/>
    <w:rsid w:val="00AF22A1"/>
    <w:pPr>
      <w:jc w:val="center"/>
    </w:pPr>
  </w:style>
  <w:style w:type="character" w:styleId="PageNumber">
    <w:name w:val="page number"/>
    <w:basedOn w:val="DefaultParagraphFont"/>
    <w:uiPriority w:val="99"/>
    <w:semiHidden/>
    <w:unhideWhenUsed/>
    <w:rsid w:val="00406522"/>
  </w:style>
  <w:style w:type="table" w:styleId="LightShading-Accent2">
    <w:name w:val="Light Shading Accent 2"/>
    <w:basedOn w:val="TableNormal"/>
    <w:uiPriority w:val="60"/>
    <w:rsid w:val="00406522"/>
    <w:pPr>
      <w:spacing w:before="0" w:after="0"/>
    </w:pPr>
    <w:rPr>
      <w:rFonts w:eastAsiaTheme="minorEastAsia"/>
      <w:color w:val="303031" w:themeColor="accent2" w:themeShade="BF"/>
      <w:sz w:val="24"/>
      <w:szCs w:val="24"/>
      <w:lang w:val="en-US"/>
    </w:rPr>
    <w:tblPr>
      <w:tblStyleRowBandSize w:val="1"/>
      <w:tblStyleColBandSize w:val="1"/>
      <w:tblBorders>
        <w:top w:val="single" w:sz="8" w:space="0" w:color="414042" w:themeColor="accent2"/>
        <w:bottom w:val="single" w:sz="8" w:space="0" w:color="414042" w:themeColor="accent2"/>
      </w:tblBorders>
    </w:tblPr>
    <w:tblStylePr w:type="firstRow">
      <w:pPr>
        <w:spacing w:before="0" w:after="0" w:line="240" w:lineRule="auto"/>
      </w:pPr>
      <w:rPr>
        <w:b/>
        <w:bCs/>
      </w:rPr>
      <w:tblPr/>
      <w:tcPr>
        <w:tcBorders>
          <w:top w:val="single" w:sz="8" w:space="0" w:color="414042" w:themeColor="accent2"/>
          <w:left w:val="nil"/>
          <w:bottom w:val="single" w:sz="8" w:space="0" w:color="414042" w:themeColor="accent2"/>
          <w:right w:val="nil"/>
          <w:insideH w:val="nil"/>
          <w:insideV w:val="nil"/>
        </w:tcBorders>
      </w:tcPr>
    </w:tblStylePr>
    <w:tblStylePr w:type="lastRow">
      <w:pPr>
        <w:spacing w:before="0" w:after="0" w:line="240" w:lineRule="auto"/>
      </w:pPr>
      <w:rPr>
        <w:b/>
        <w:bCs/>
      </w:rPr>
      <w:tblPr/>
      <w:tcPr>
        <w:tcBorders>
          <w:top w:val="single" w:sz="8" w:space="0" w:color="414042" w:themeColor="accent2"/>
          <w:left w:val="nil"/>
          <w:bottom w:val="single" w:sz="8" w:space="0" w:color="41404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D0" w:themeFill="accent2" w:themeFillTint="3F"/>
      </w:tcPr>
    </w:tblStylePr>
    <w:tblStylePr w:type="band1Horz">
      <w:tblPr/>
      <w:tcPr>
        <w:tcBorders>
          <w:left w:val="nil"/>
          <w:right w:val="nil"/>
          <w:insideH w:val="nil"/>
          <w:insideV w:val="nil"/>
        </w:tcBorders>
        <w:shd w:val="clear" w:color="auto" w:fill="CFCFD0" w:themeFill="accent2" w:themeFillTint="3F"/>
      </w:tcPr>
    </w:tblStylePr>
  </w:style>
  <w:style w:type="table" w:styleId="LightList-Accent6">
    <w:name w:val="Light List Accent 6"/>
    <w:basedOn w:val="TableNormal"/>
    <w:uiPriority w:val="61"/>
    <w:rsid w:val="00406522"/>
    <w:pPr>
      <w:spacing w:before="0" w:after="0"/>
    </w:pPr>
    <w:rPr>
      <w:rFonts w:eastAsiaTheme="minorEastAsia"/>
      <w:sz w:val="24"/>
      <w:szCs w:val="24"/>
      <w:lang w:val="en-US"/>
    </w:rPr>
    <w:tblPr>
      <w:tblStyleRowBandSize w:val="1"/>
      <w:tblStyleColBandSize w:val="1"/>
      <w:tblBorders>
        <w:top w:val="single" w:sz="8" w:space="0" w:color="D5D6D8" w:themeColor="accent6"/>
        <w:left w:val="single" w:sz="8" w:space="0" w:color="D5D6D8" w:themeColor="accent6"/>
        <w:bottom w:val="single" w:sz="8" w:space="0" w:color="D5D6D8" w:themeColor="accent6"/>
        <w:right w:val="single" w:sz="8" w:space="0" w:color="D5D6D8" w:themeColor="accent6"/>
      </w:tblBorders>
    </w:tblPr>
    <w:tblStylePr w:type="firstRow">
      <w:pPr>
        <w:spacing w:before="0" w:after="0" w:line="240" w:lineRule="auto"/>
      </w:pPr>
      <w:rPr>
        <w:b/>
        <w:bCs/>
        <w:color w:val="FFFFFF" w:themeColor="background1"/>
      </w:rPr>
      <w:tblPr/>
      <w:tcPr>
        <w:shd w:val="clear" w:color="auto" w:fill="D5D6D8" w:themeFill="accent6"/>
      </w:tcPr>
    </w:tblStylePr>
    <w:tblStylePr w:type="lastRow">
      <w:pPr>
        <w:spacing w:before="0" w:after="0" w:line="240" w:lineRule="auto"/>
      </w:pPr>
      <w:rPr>
        <w:b/>
        <w:bCs/>
      </w:rPr>
      <w:tblPr/>
      <w:tcPr>
        <w:tcBorders>
          <w:top w:val="double" w:sz="6" w:space="0" w:color="D5D6D8" w:themeColor="accent6"/>
          <w:left w:val="single" w:sz="8" w:space="0" w:color="D5D6D8" w:themeColor="accent6"/>
          <w:bottom w:val="single" w:sz="8" w:space="0" w:color="D5D6D8" w:themeColor="accent6"/>
          <w:right w:val="single" w:sz="8" w:space="0" w:color="D5D6D8" w:themeColor="accent6"/>
        </w:tcBorders>
      </w:tcPr>
    </w:tblStylePr>
    <w:tblStylePr w:type="firstCol">
      <w:rPr>
        <w:b/>
        <w:bCs/>
      </w:rPr>
    </w:tblStylePr>
    <w:tblStylePr w:type="lastCol">
      <w:rPr>
        <w:b/>
        <w:bCs/>
      </w:rPr>
    </w:tblStylePr>
    <w:tblStylePr w:type="band1Vert">
      <w:tblPr/>
      <w:tcPr>
        <w:tcBorders>
          <w:top w:val="single" w:sz="8" w:space="0" w:color="D5D6D8" w:themeColor="accent6"/>
          <w:left w:val="single" w:sz="8" w:space="0" w:color="D5D6D8" w:themeColor="accent6"/>
          <w:bottom w:val="single" w:sz="8" w:space="0" w:color="D5D6D8" w:themeColor="accent6"/>
          <w:right w:val="single" w:sz="8" w:space="0" w:color="D5D6D8" w:themeColor="accent6"/>
        </w:tcBorders>
      </w:tcPr>
    </w:tblStylePr>
    <w:tblStylePr w:type="band1Horz">
      <w:tblPr/>
      <w:tcPr>
        <w:tcBorders>
          <w:top w:val="single" w:sz="8" w:space="0" w:color="D5D6D8" w:themeColor="accent6"/>
          <w:left w:val="single" w:sz="8" w:space="0" w:color="D5D6D8" w:themeColor="accent6"/>
          <w:bottom w:val="single" w:sz="8" w:space="0" w:color="D5D6D8" w:themeColor="accent6"/>
          <w:right w:val="single" w:sz="8" w:space="0" w:color="D5D6D8" w:themeColor="accent6"/>
        </w:tcBorders>
      </w:tcPr>
    </w:tblStylePr>
  </w:style>
  <w:style w:type="table" w:styleId="LightGrid-Accent6">
    <w:name w:val="Light Grid Accent 6"/>
    <w:basedOn w:val="TableNormal"/>
    <w:uiPriority w:val="62"/>
    <w:rsid w:val="00406522"/>
    <w:pPr>
      <w:spacing w:before="0" w:after="0"/>
    </w:pPr>
    <w:rPr>
      <w:rFonts w:eastAsiaTheme="minorEastAsia"/>
      <w:sz w:val="24"/>
      <w:szCs w:val="24"/>
      <w:lang w:val="en-US"/>
    </w:rPr>
    <w:tblPr>
      <w:tblStyleRowBandSize w:val="1"/>
      <w:tblStyleColBandSize w:val="1"/>
      <w:tblBorders>
        <w:top w:val="single" w:sz="8" w:space="0" w:color="D5D6D8" w:themeColor="accent6"/>
        <w:left w:val="single" w:sz="8" w:space="0" w:color="D5D6D8" w:themeColor="accent6"/>
        <w:bottom w:val="single" w:sz="8" w:space="0" w:color="D5D6D8" w:themeColor="accent6"/>
        <w:right w:val="single" w:sz="8" w:space="0" w:color="D5D6D8" w:themeColor="accent6"/>
        <w:insideH w:val="single" w:sz="8" w:space="0" w:color="D5D6D8" w:themeColor="accent6"/>
        <w:insideV w:val="single" w:sz="8" w:space="0" w:color="D5D6D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D6D8" w:themeColor="accent6"/>
          <w:left w:val="single" w:sz="8" w:space="0" w:color="D5D6D8" w:themeColor="accent6"/>
          <w:bottom w:val="single" w:sz="18" w:space="0" w:color="D5D6D8" w:themeColor="accent6"/>
          <w:right w:val="single" w:sz="8" w:space="0" w:color="D5D6D8" w:themeColor="accent6"/>
          <w:insideH w:val="nil"/>
          <w:insideV w:val="single" w:sz="8" w:space="0" w:color="D5D6D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D6D8" w:themeColor="accent6"/>
          <w:left w:val="single" w:sz="8" w:space="0" w:color="D5D6D8" w:themeColor="accent6"/>
          <w:bottom w:val="single" w:sz="8" w:space="0" w:color="D5D6D8" w:themeColor="accent6"/>
          <w:right w:val="single" w:sz="8" w:space="0" w:color="D5D6D8" w:themeColor="accent6"/>
          <w:insideH w:val="nil"/>
          <w:insideV w:val="single" w:sz="8" w:space="0" w:color="D5D6D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D6D8" w:themeColor="accent6"/>
          <w:left w:val="single" w:sz="8" w:space="0" w:color="D5D6D8" w:themeColor="accent6"/>
          <w:bottom w:val="single" w:sz="8" w:space="0" w:color="D5D6D8" w:themeColor="accent6"/>
          <w:right w:val="single" w:sz="8" w:space="0" w:color="D5D6D8" w:themeColor="accent6"/>
        </w:tcBorders>
      </w:tcPr>
    </w:tblStylePr>
    <w:tblStylePr w:type="band1Vert">
      <w:tblPr/>
      <w:tcPr>
        <w:tcBorders>
          <w:top w:val="single" w:sz="8" w:space="0" w:color="D5D6D8" w:themeColor="accent6"/>
          <w:left w:val="single" w:sz="8" w:space="0" w:color="D5D6D8" w:themeColor="accent6"/>
          <w:bottom w:val="single" w:sz="8" w:space="0" w:color="D5D6D8" w:themeColor="accent6"/>
          <w:right w:val="single" w:sz="8" w:space="0" w:color="D5D6D8" w:themeColor="accent6"/>
        </w:tcBorders>
        <w:shd w:val="clear" w:color="auto" w:fill="F4F4F5" w:themeFill="accent6" w:themeFillTint="3F"/>
      </w:tcPr>
    </w:tblStylePr>
    <w:tblStylePr w:type="band1Horz">
      <w:tblPr/>
      <w:tcPr>
        <w:tcBorders>
          <w:top w:val="single" w:sz="8" w:space="0" w:color="D5D6D8" w:themeColor="accent6"/>
          <w:left w:val="single" w:sz="8" w:space="0" w:color="D5D6D8" w:themeColor="accent6"/>
          <w:bottom w:val="single" w:sz="8" w:space="0" w:color="D5D6D8" w:themeColor="accent6"/>
          <w:right w:val="single" w:sz="8" w:space="0" w:color="D5D6D8" w:themeColor="accent6"/>
          <w:insideV w:val="single" w:sz="8" w:space="0" w:color="D5D6D8" w:themeColor="accent6"/>
        </w:tcBorders>
        <w:shd w:val="clear" w:color="auto" w:fill="F4F4F5" w:themeFill="accent6" w:themeFillTint="3F"/>
      </w:tcPr>
    </w:tblStylePr>
    <w:tblStylePr w:type="band2Horz">
      <w:tblPr/>
      <w:tcPr>
        <w:tcBorders>
          <w:top w:val="single" w:sz="8" w:space="0" w:color="D5D6D8" w:themeColor="accent6"/>
          <w:left w:val="single" w:sz="8" w:space="0" w:color="D5D6D8" w:themeColor="accent6"/>
          <w:bottom w:val="single" w:sz="8" w:space="0" w:color="D5D6D8" w:themeColor="accent6"/>
          <w:right w:val="single" w:sz="8" w:space="0" w:color="D5D6D8" w:themeColor="accent6"/>
          <w:insideV w:val="single" w:sz="8" w:space="0" w:color="D5D6D8" w:themeColor="accent6"/>
        </w:tcBorders>
      </w:tcPr>
    </w:tblStylePr>
  </w:style>
  <w:style w:type="table" w:styleId="MediumShading2-Accent6">
    <w:name w:val="Medium Shading 2 Accent 6"/>
    <w:basedOn w:val="TableNormal"/>
    <w:uiPriority w:val="64"/>
    <w:rsid w:val="00406522"/>
    <w:pPr>
      <w:spacing w:before="0" w:after="0"/>
    </w:pPr>
    <w:rPr>
      <w:rFonts w:eastAsiaTheme="minorEastAsia"/>
      <w:sz w:val="24"/>
      <w:szCs w:val="24"/>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D6D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5D6D8" w:themeFill="accent6"/>
      </w:tcPr>
    </w:tblStylePr>
    <w:tblStylePr w:type="lastCol">
      <w:rPr>
        <w:b/>
        <w:bCs/>
        <w:color w:val="FFFFFF" w:themeColor="background1"/>
      </w:rPr>
      <w:tblPr/>
      <w:tcPr>
        <w:tcBorders>
          <w:left w:val="nil"/>
          <w:right w:val="nil"/>
          <w:insideH w:val="nil"/>
          <w:insideV w:val="nil"/>
        </w:tcBorders>
        <w:shd w:val="clear" w:color="auto" w:fill="D5D6D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rsid w:val="00406522"/>
    <w:pPr>
      <w:spacing w:before="0" w:after="0"/>
    </w:pPr>
    <w:rPr>
      <w:rFonts w:eastAsiaTheme="minorEastAsia"/>
      <w:color w:val="FFFFFF" w:themeColor="background1"/>
      <w:sz w:val="24"/>
      <w:szCs w:val="24"/>
      <w:lang w:val="en-US"/>
    </w:rPr>
    <w:tblPr>
      <w:tblStyleRowBandSize w:val="1"/>
      <w:tblStyleColBandSize w:val="1"/>
    </w:tblPr>
    <w:tcPr>
      <w:shd w:val="clear" w:color="auto" w:fill="D5D6D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696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D9FA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D9FA4" w:themeFill="accent6" w:themeFillShade="BF"/>
      </w:tcPr>
    </w:tblStylePr>
    <w:tblStylePr w:type="band1Vert">
      <w:tblPr/>
      <w:tcPr>
        <w:tcBorders>
          <w:top w:val="nil"/>
          <w:left w:val="nil"/>
          <w:bottom w:val="nil"/>
          <w:right w:val="nil"/>
          <w:insideH w:val="nil"/>
          <w:insideV w:val="nil"/>
        </w:tcBorders>
        <w:shd w:val="clear" w:color="auto" w:fill="9D9FA4" w:themeFill="accent6" w:themeFillShade="BF"/>
      </w:tcPr>
    </w:tblStylePr>
    <w:tblStylePr w:type="band1Horz">
      <w:tblPr/>
      <w:tcPr>
        <w:tcBorders>
          <w:top w:val="nil"/>
          <w:left w:val="nil"/>
          <w:bottom w:val="nil"/>
          <w:right w:val="nil"/>
          <w:insideH w:val="nil"/>
          <w:insideV w:val="nil"/>
        </w:tcBorders>
        <w:shd w:val="clear" w:color="auto" w:fill="9D9FA4" w:themeFill="accent6" w:themeFillShade="BF"/>
      </w:tcPr>
    </w:tblStylePr>
  </w:style>
  <w:style w:type="paragraph" w:customStyle="1" w:styleId="BQSectionHeading">
    <w:name w:val="BQ Section Heading"/>
    <w:next w:val="BQHeading3"/>
    <w:link w:val="BQSectionHeadingChar"/>
    <w:rsid w:val="00406522"/>
    <w:pPr>
      <w:spacing w:before="360" w:after="360"/>
    </w:pPr>
    <w:rPr>
      <w:rFonts w:ascii="Klavika Light" w:eastAsiaTheme="minorEastAsia" w:hAnsi="Klavika Light"/>
      <w:color w:val="413642"/>
      <w:sz w:val="56"/>
      <w:szCs w:val="56"/>
      <w:lang w:val="en-US"/>
    </w:rPr>
  </w:style>
  <w:style w:type="paragraph" w:customStyle="1" w:styleId="BQHeading3">
    <w:name w:val="BQ Heading3"/>
    <w:next w:val="BQTableCopy"/>
    <w:link w:val="BQHeading3Char"/>
    <w:rsid w:val="00406522"/>
    <w:pPr>
      <w:keepNext/>
      <w:numPr>
        <w:ilvl w:val="2"/>
        <w:numId w:val="18"/>
      </w:numPr>
      <w:spacing w:before="120" w:after="120"/>
      <w:outlineLvl w:val="2"/>
    </w:pPr>
    <w:rPr>
      <w:rFonts w:ascii="Calibri Light" w:eastAsiaTheme="minorEastAsia" w:hAnsi="Calibri Light"/>
      <w:color w:val="324851" w:themeColor="accent1"/>
      <w:sz w:val="24"/>
      <w:szCs w:val="28"/>
      <w:lang w:val="en-US"/>
    </w:rPr>
  </w:style>
  <w:style w:type="paragraph" w:customStyle="1" w:styleId="BQTableCopy">
    <w:name w:val="BQ Table Copy"/>
    <w:link w:val="BQTableCopyChar"/>
    <w:rsid w:val="00406522"/>
    <w:pPr>
      <w:spacing w:before="120" w:after="120"/>
    </w:pPr>
    <w:rPr>
      <w:rFonts w:ascii="Calibri Light" w:eastAsiaTheme="minorEastAsia" w:hAnsi="Calibri Light"/>
      <w:color w:val="413642"/>
      <w:sz w:val="20"/>
      <w:szCs w:val="24"/>
      <w:lang w:val="en-US"/>
    </w:rPr>
  </w:style>
  <w:style w:type="paragraph" w:customStyle="1" w:styleId="BQReportCoverTitle">
    <w:name w:val="BQ_Report Cover_Title"/>
    <w:basedOn w:val="Normal"/>
    <w:link w:val="BQReportCoverTitleChar"/>
    <w:rsid w:val="00406522"/>
    <w:pPr>
      <w:spacing w:after="240"/>
    </w:pPr>
    <w:rPr>
      <w:rFonts w:ascii="Klavika Light" w:eastAsiaTheme="minorEastAsia" w:hAnsi="Klavika Light"/>
      <w:caps/>
      <w:color w:val="FFFFFF" w:themeColor="background1"/>
      <w:sz w:val="56"/>
      <w:szCs w:val="96"/>
    </w:rPr>
  </w:style>
  <w:style w:type="paragraph" w:customStyle="1" w:styleId="BQReportCoverSubtitle">
    <w:name w:val="BQ_Report Cover_Subtitle"/>
    <w:basedOn w:val="BQReportCoverTitle"/>
    <w:link w:val="BQReportCoverSubtitleChar"/>
    <w:rsid w:val="00406522"/>
    <w:pPr>
      <w:spacing w:after="840"/>
      <w:ind w:right="4814"/>
    </w:pPr>
    <w:rPr>
      <w:rFonts w:ascii="Calibri Light" w:hAnsi="Calibri Light"/>
      <w:sz w:val="40"/>
      <w:szCs w:val="56"/>
    </w:rPr>
  </w:style>
  <w:style w:type="character" w:customStyle="1" w:styleId="BQReportCoverTitleChar">
    <w:name w:val="BQ_Report Cover_Title Char"/>
    <w:basedOn w:val="DefaultParagraphFont"/>
    <w:link w:val="BQReportCoverTitle"/>
    <w:rsid w:val="00406522"/>
    <w:rPr>
      <w:rFonts w:ascii="Klavika Light" w:eastAsiaTheme="minorEastAsia" w:hAnsi="Klavika Light"/>
      <w:caps/>
      <w:color w:val="FFFFFF" w:themeColor="background1"/>
      <w:sz w:val="56"/>
      <w:szCs w:val="96"/>
    </w:rPr>
  </w:style>
  <w:style w:type="paragraph" w:customStyle="1" w:styleId="BQReportCoverDate">
    <w:name w:val="BQ_Report Cover_Date"/>
    <w:basedOn w:val="Normal"/>
    <w:link w:val="BQReportCoverDateChar"/>
    <w:rsid w:val="00406522"/>
    <w:pPr>
      <w:spacing w:after="240"/>
      <w:ind w:right="4954"/>
    </w:pPr>
    <w:rPr>
      <w:rFonts w:ascii="Calibri Light" w:eastAsiaTheme="minorEastAsia" w:hAnsi="Calibri Light"/>
      <w:b/>
      <w:noProof/>
      <w:color w:val="324851" w:themeColor="accent1"/>
      <w:sz w:val="40"/>
      <w:szCs w:val="40"/>
      <w:lang w:eastAsia="en-AU"/>
    </w:rPr>
  </w:style>
  <w:style w:type="character" w:customStyle="1" w:styleId="BQReportCoverSubtitleChar">
    <w:name w:val="BQ_Report Cover_Subtitle Char"/>
    <w:basedOn w:val="BQReportCoverTitleChar"/>
    <w:link w:val="BQReportCoverSubtitle"/>
    <w:rsid w:val="00406522"/>
    <w:rPr>
      <w:rFonts w:ascii="Calibri Light" w:eastAsiaTheme="minorEastAsia" w:hAnsi="Calibri Light"/>
      <w:caps/>
      <w:color w:val="FFFFFF" w:themeColor="background1"/>
      <w:sz w:val="40"/>
      <w:szCs w:val="56"/>
    </w:rPr>
  </w:style>
  <w:style w:type="paragraph" w:customStyle="1" w:styleId="BQHeading1">
    <w:name w:val="BQ_Heading 1"/>
    <w:basedOn w:val="BQSectionHeading"/>
    <w:link w:val="BQHeading1Char"/>
    <w:rsid w:val="00406522"/>
    <w:pPr>
      <w:numPr>
        <w:numId w:val="18"/>
      </w:numPr>
      <w:spacing w:after="0"/>
    </w:pPr>
    <w:rPr>
      <w:rFonts w:ascii="Calibri Light" w:hAnsi="Calibri Light"/>
      <w:caps/>
      <w:sz w:val="32"/>
    </w:rPr>
  </w:style>
  <w:style w:type="character" w:customStyle="1" w:styleId="BQReportCoverDateChar">
    <w:name w:val="BQ_Report Cover_Date Char"/>
    <w:basedOn w:val="DefaultParagraphFont"/>
    <w:link w:val="BQReportCoverDate"/>
    <w:rsid w:val="00406522"/>
    <w:rPr>
      <w:rFonts w:ascii="Calibri Light" w:eastAsiaTheme="minorEastAsia" w:hAnsi="Calibri Light"/>
      <w:b/>
      <w:noProof/>
      <w:color w:val="324851" w:themeColor="accent1"/>
      <w:sz w:val="40"/>
      <w:szCs w:val="40"/>
      <w:lang w:eastAsia="en-AU"/>
    </w:rPr>
  </w:style>
  <w:style w:type="paragraph" w:customStyle="1" w:styleId="BQHeading2">
    <w:name w:val="BQ_Heading 2"/>
    <w:basedOn w:val="BQHeading3"/>
    <w:link w:val="BQHeading2Char"/>
    <w:rsid w:val="00406522"/>
    <w:pPr>
      <w:numPr>
        <w:ilvl w:val="1"/>
      </w:numPr>
      <w:spacing w:before="160"/>
      <w:ind w:left="851"/>
      <w:outlineLvl w:val="1"/>
    </w:pPr>
    <w:rPr>
      <w:sz w:val="28"/>
    </w:rPr>
  </w:style>
  <w:style w:type="character" w:customStyle="1" w:styleId="BQSectionHeadingChar">
    <w:name w:val="BQ Section Heading Char"/>
    <w:basedOn w:val="DefaultParagraphFont"/>
    <w:link w:val="BQSectionHeading"/>
    <w:rsid w:val="00406522"/>
    <w:rPr>
      <w:rFonts w:ascii="Klavika Light" w:eastAsiaTheme="minorEastAsia" w:hAnsi="Klavika Light"/>
      <w:color w:val="413642"/>
      <w:sz w:val="56"/>
      <w:szCs w:val="56"/>
      <w:lang w:val="en-US"/>
    </w:rPr>
  </w:style>
  <w:style w:type="character" w:customStyle="1" w:styleId="BQHeading1Char">
    <w:name w:val="BQ_Heading 1 Char"/>
    <w:basedOn w:val="BQSectionHeadingChar"/>
    <w:link w:val="BQHeading1"/>
    <w:rsid w:val="00406522"/>
    <w:rPr>
      <w:rFonts w:ascii="Calibri Light" w:eastAsiaTheme="minorEastAsia" w:hAnsi="Calibri Light"/>
      <w:caps/>
      <w:color w:val="413642"/>
      <w:sz w:val="32"/>
      <w:szCs w:val="56"/>
      <w:lang w:val="en-US"/>
    </w:rPr>
  </w:style>
  <w:style w:type="paragraph" w:customStyle="1" w:styleId="BQBody">
    <w:name w:val="BQ_Body"/>
    <w:basedOn w:val="BQTableCopy"/>
    <w:link w:val="BQBodyChar"/>
    <w:rsid w:val="00406522"/>
  </w:style>
  <w:style w:type="character" w:customStyle="1" w:styleId="BQHeading3Char">
    <w:name w:val="BQ Heading3 Char"/>
    <w:basedOn w:val="DefaultParagraphFont"/>
    <w:link w:val="BQHeading3"/>
    <w:rsid w:val="00406522"/>
    <w:rPr>
      <w:rFonts w:ascii="Calibri Light" w:eastAsiaTheme="minorEastAsia" w:hAnsi="Calibri Light"/>
      <w:color w:val="324851" w:themeColor="accent1"/>
      <w:sz w:val="24"/>
      <w:szCs w:val="28"/>
      <w:lang w:val="en-US"/>
    </w:rPr>
  </w:style>
  <w:style w:type="character" w:customStyle="1" w:styleId="BQHeading2Char">
    <w:name w:val="BQ_Heading 2 Char"/>
    <w:basedOn w:val="BQHeading3Char"/>
    <w:link w:val="BQHeading2"/>
    <w:rsid w:val="00406522"/>
    <w:rPr>
      <w:rFonts w:ascii="Calibri Light" w:eastAsiaTheme="minorEastAsia" w:hAnsi="Calibri Light"/>
      <w:color w:val="324851" w:themeColor="accent1"/>
      <w:sz w:val="28"/>
      <w:szCs w:val="28"/>
      <w:lang w:val="en-US"/>
    </w:rPr>
  </w:style>
  <w:style w:type="paragraph" w:customStyle="1" w:styleId="BQTableHeading1">
    <w:name w:val="BQ_Table Heading 1"/>
    <w:basedOn w:val="BQBody"/>
    <w:link w:val="BQTableHeading1Char"/>
    <w:rsid w:val="00406522"/>
    <w:pPr>
      <w:spacing w:before="40" w:after="40"/>
    </w:pPr>
    <w:rPr>
      <w:b/>
      <w:bCs/>
      <w:caps/>
      <w:color w:val="FFFFFF" w:themeColor="background1"/>
      <w:sz w:val="21"/>
      <w:szCs w:val="20"/>
    </w:rPr>
  </w:style>
  <w:style w:type="character" w:customStyle="1" w:styleId="BQTableCopyChar">
    <w:name w:val="BQ Table Copy Char"/>
    <w:basedOn w:val="DefaultParagraphFont"/>
    <w:link w:val="BQTableCopy"/>
    <w:rsid w:val="00406522"/>
    <w:rPr>
      <w:rFonts w:ascii="Calibri Light" w:eastAsiaTheme="minorEastAsia" w:hAnsi="Calibri Light"/>
      <w:color w:val="413642"/>
      <w:sz w:val="20"/>
      <w:szCs w:val="24"/>
      <w:lang w:val="en-US"/>
    </w:rPr>
  </w:style>
  <w:style w:type="character" w:customStyle="1" w:styleId="BQBodyChar">
    <w:name w:val="BQ_Body Char"/>
    <w:basedOn w:val="BQTableCopyChar"/>
    <w:link w:val="BQBody"/>
    <w:rsid w:val="00406522"/>
    <w:rPr>
      <w:rFonts w:ascii="Calibri Light" w:eastAsiaTheme="minorEastAsia" w:hAnsi="Calibri Light"/>
      <w:color w:val="413642"/>
      <w:sz w:val="20"/>
      <w:szCs w:val="24"/>
      <w:lang w:val="en-US"/>
    </w:rPr>
  </w:style>
  <w:style w:type="paragraph" w:customStyle="1" w:styleId="BQTableHeading2">
    <w:name w:val="BQ_Table Heading 2"/>
    <w:basedOn w:val="Normal"/>
    <w:link w:val="BQTableHeading2Char"/>
    <w:rsid w:val="00406522"/>
    <w:pPr>
      <w:spacing w:before="20" w:after="20"/>
    </w:pPr>
    <w:rPr>
      <w:rFonts w:ascii="Calibri Light" w:eastAsiaTheme="minorEastAsia" w:hAnsi="Calibri Light"/>
      <w:szCs w:val="24"/>
    </w:rPr>
  </w:style>
  <w:style w:type="character" w:customStyle="1" w:styleId="BQTableHeading1Char">
    <w:name w:val="BQ_Table Heading 1 Char"/>
    <w:basedOn w:val="BQBodyChar"/>
    <w:link w:val="BQTableHeading1"/>
    <w:rsid w:val="00406522"/>
    <w:rPr>
      <w:rFonts w:ascii="Calibri Light" w:eastAsiaTheme="minorEastAsia" w:hAnsi="Calibri Light"/>
      <w:b/>
      <w:bCs/>
      <w:caps/>
      <w:color w:val="FFFFFF" w:themeColor="background1"/>
      <w:sz w:val="21"/>
      <w:szCs w:val="20"/>
      <w:lang w:val="en-US"/>
    </w:rPr>
  </w:style>
  <w:style w:type="paragraph" w:customStyle="1" w:styleId="BQBullet">
    <w:name w:val="BQ_Bullet"/>
    <w:basedOn w:val="BQTableCopy"/>
    <w:link w:val="BQBulletChar"/>
    <w:rsid w:val="00406522"/>
    <w:pPr>
      <w:numPr>
        <w:numId w:val="12"/>
      </w:numPr>
    </w:pPr>
  </w:style>
  <w:style w:type="character" w:customStyle="1" w:styleId="BQTableHeading2Char">
    <w:name w:val="BQ_Table Heading 2 Char"/>
    <w:basedOn w:val="DefaultParagraphFont"/>
    <w:link w:val="BQTableHeading2"/>
    <w:rsid w:val="00406522"/>
    <w:rPr>
      <w:rFonts w:ascii="Calibri Light" w:eastAsiaTheme="minorEastAsia" w:hAnsi="Calibri Light"/>
      <w:sz w:val="20"/>
      <w:szCs w:val="24"/>
    </w:rPr>
  </w:style>
  <w:style w:type="paragraph" w:customStyle="1" w:styleId="BQGraphHeading">
    <w:name w:val="BQ_Graph Heading"/>
    <w:basedOn w:val="BQTableCopy"/>
    <w:link w:val="BQGraphHeadingChar"/>
    <w:rsid w:val="00406522"/>
    <w:pPr>
      <w:spacing w:before="0" w:after="0"/>
    </w:pPr>
    <w:rPr>
      <w:color w:val="DE7C00"/>
      <w:szCs w:val="20"/>
    </w:rPr>
  </w:style>
  <w:style w:type="character" w:customStyle="1" w:styleId="BQBulletChar">
    <w:name w:val="BQ_Bullet Char"/>
    <w:basedOn w:val="BQTableCopyChar"/>
    <w:link w:val="BQBullet"/>
    <w:rsid w:val="00406522"/>
    <w:rPr>
      <w:rFonts w:ascii="Calibri Light" w:eastAsiaTheme="minorEastAsia" w:hAnsi="Calibri Light"/>
      <w:color w:val="413642"/>
      <w:sz w:val="20"/>
      <w:szCs w:val="24"/>
      <w:lang w:val="en-US"/>
    </w:rPr>
  </w:style>
  <w:style w:type="character" w:customStyle="1" w:styleId="BQGraphHeadingChar">
    <w:name w:val="BQ_Graph Heading Char"/>
    <w:basedOn w:val="BQTableCopyChar"/>
    <w:link w:val="BQGraphHeading"/>
    <w:rsid w:val="00406522"/>
    <w:rPr>
      <w:rFonts w:ascii="Calibri Light" w:eastAsiaTheme="minorEastAsia" w:hAnsi="Calibri Light"/>
      <w:color w:val="DE7C00"/>
      <w:sz w:val="20"/>
      <w:szCs w:val="20"/>
      <w:lang w:val="en-US"/>
    </w:rPr>
  </w:style>
  <w:style w:type="character" w:styleId="HTMLCite">
    <w:name w:val="HTML Cite"/>
    <w:basedOn w:val="DefaultParagraphFont"/>
    <w:uiPriority w:val="99"/>
    <w:semiHidden/>
    <w:rsid w:val="00406522"/>
    <w:rPr>
      <w:i/>
      <w:iCs/>
    </w:rPr>
  </w:style>
  <w:style w:type="paragraph" w:customStyle="1" w:styleId="TOCTitle">
    <w:name w:val="TOC Title"/>
    <w:link w:val="TOCTitleChar"/>
    <w:qFormat/>
    <w:rsid w:val="00406522"/>
    <w:pPr>
      <w:spacing w:before="120" w:after="240"/>
    </w:pPr>
    <w:rPr>
      <w:rFonts w:ascii="Calibri Light" w:eastAsiaTheme="minorEastAsia" w:hAnsi="Calibri Light"/>
      <w:caps/>
      <w:noProof/>
      <w:color w:val="413642"/>
      <w:sz w:val="32"/>
      <w:szCs w:val="56"/>
      <w:lang w:val="en-US" w:eastAsia="en-AU"/>
    </w:rPr>
  </w:style>
  <w:style w:type="character" w:customStyle="1" w:styleId="TOCTitleChar">
    <w:name w:val="TOC Title Char"/>
    <w:basedOn w:val="BQHeading1Char"/>
    <w:link w:val="TOCTitle"/>
    <w:rsid w:val="00406522"/>
    <w:rPr>
      <w:rFonts w:ascii="Calibri Light" w:eastAsiaTheme="minorEastAsia" w:hAnsi="Calibri Light"/>
      <w:caps/>
      <w:noProof/>
      <w:color w:val="413642"/>
      <w:sz w:val="32"/>
      <w:szCs w:val="56"/>
      <w:lang w:val="en-US" w:eastAsia="en-AU"/>
    </w:rPr>
  </w:style>
  <w:style w:type="paragraph" w:customStyle="1" w:styleId="PageNumber1">
    <w:name w:val="Page Number1"/>
    <w:basedOn w:val="Footer"/>
    <w:rsid w:val="00406522"/>
    <w:pPr>
      <w:framePr w:w="498" w:wrap="around" w:vAnchor="text" w:hAnchor="page" w:x="1135" w:y="39"/>
      <w:pBdr>
        <w:top w:val="none" w:sz="0" w:space="0" w:color="auto"/>
      </w:pBdr>
      <w:tabs>
        <w:tab w:val="clear" w:pos="9639"/>
        <w:tab w:val="center" w:pos="4320"/>
        <w:tab w:val="right" w:pos="8640"/>
      </w:tabs>
    </w:pPr>
    <w:rPr>
      <w:rFonts w:ascii="Calibri Light" w:eastAsiaTheme="minorEastAsia" w:hAnsi="Calibri Light"/>
      <w:caps w:val="0"/>
      <w:noProof w:val="0"/>
      <w:color w:val="434343"/>
      <w:sz w:val="18"/>
      <w:szCs w:val="18"/>
      <w:lang w:eastAsia="en-US"/>
    </w:rPr>
  </w:style>
  <w:style w:type="paragraph" w:customStyle="1" w:styleId="BQTableHeading1option2">
    <w:name w:val="BQ_Table Heading 1_option 2"/>
    <w:basedOn w:val="BodyText"/>
    <w:next w:val="BodyText"/>
    <w:rsid w:val="00406522"/>
    <w:pPr>
      <w:jc w:val="center"/>
    </w:pPr>
    <w:rPr>
      <w:rFonts w:ascii="Calibri Light" w:hAnsi="Calibri Light"/>
      <w:b/>
      <w:color w:val="434343"/>
      <w:szCs w:val="20"/>
    </w:rPr>
  </w:style>
  <w:style w:type="paragraph" w:customStyle="1" w:styleId="BQBodyCopy">
    <w:name w:val="BQ Body Copy"/>
    <w:link w:val="BQBodyCopyChar"/>
    <w:rsid w:val="00406522"/>
    <w:pPr>
      <w:spacing w:before="120" w:after="120"/>
    </w:pPr>
    <w:rPr>
      <w:rFonts w:ascii="Calibri Light" w:eastAsiaTheme="minorEastAsia" w:hAnsi="Calibri Light"/>
      <w:color w:val="413642"/>
      <w:sz w:val="20"/>
      <w:szCs w:val="24"/>
      <w:lang w:val="en-US"/>
    </w:rPr>
  </w:style>
  <w:style w:type="character" w:customStyle="1" w:styleId="BQBodyCopyChar">
    <w:name w:val="BQ Body Copy Char"/>
    <w:basedOn w:val="DefaultParagraphFont"/>
    <w:link w:val="BQBodyCopy"/>
    <w:rsid w:val="00406522"/>
    <w:rPr>
      <w:rFonts w:ascii="Calibri Light" w:eastAsiaTheme="minorEastAsia" w:hAnsi="Calibri Light"/>
      <w:color w:val="413642"/>
      <w:sz w:val="20"/>
      <w:szCs w:val="24"/>
      <w:lang w:val="en-US"/>
    </w:rPr>
  </w:style>
  <w:style w:type="paragraph" w:customStyle="1" w:styleId="Default">
    <w:name w:val="Default"/>
    <w:rsid w:val="00406522"/>
    <w:pPr>
      <w:autoSpaceDE w:val="0"/>
      <w:autoSpaceDN w:val="0"/>
      <w:adjustRightInd w:val="0"/>
      <w:spacing w:before="0" w:after="0"/>
    </w:pPr>
    <w:rPr>
      <w:rFonts w:ascii="Arial" w:hAnsi="Arial" w:cs="Arial"/>
      <w:color w:val="000000"/>
      <w:sz w:val="24"/>
      <w:szCs w:val="24"/>
    </w:rPr>
  </w:style>
  <w:style w:type="paragraph" w:customStyle="1" w:styleId="AComment">
    <w:name w:val="A_Comment"/>
    <w:basedOn w:val="BQBodyCopy"/>
    <w:link w:val="ACommentChar"/>
    <w:rsid w:val="00406522"/>
    <w:rPr>
      <w:color w:val="414042" w:themeColor="text2"/>
    </w:rPr>
  </w:style>
  <w:style w:type="paragraph" w:customStyle="1" w:styleId="ABullet">
    <w:name w:val="A_Bullet"/>
    <w:basedOn w:val="BQBullet"/>
    <w:link w:val="ABulletChar"/>
    <w:rsid w:val="00406522"/>
    <w:pPr>
      <w:numPr>
        <w:numId w:val="14"/>
      </w:numPr>
    </w:pPr>
  </w:style>
  <w:style w:type="character" w:customStyle="1" w:styleId="ACommentChar">
    <w:name w:val="A_Comment Char"/>
    <w:basedOn w:val="BQBodyCopyChar"/>
    <w:link w:val="AComment"/>
    <w:rsid w:val="00406522"/>
    <w:rPr>
      <w:rFonts w:ascii="Calibri Light" w:eastAsiaTheme="minorEastAsia" w:hAnsi="Calibri Light"/>
      <w:color w:val="414042" w:themeColor="text2"/>
      <w:sz w:val="20"/>
      <w:szCs w:val="24"/>
      <w:lang w:val="en-US"/>
    </w:rPr>
  </w:style>
  <w:style w:type="character" w:customStyle="1" w:styleId="ABulletChar">
    <w:name w:val="A_Bullet Char"/>
    <w:basedOn w:val="BQBulletChar"/>
    <w:link w:val="ABullet"/>
    <w:rsid w:val="00406522"/>
    <w:rPr>
      <w:rFonts w:ascii="Calibri Light" w:eastAsiaTheme="minorEastAsia" w:hAnsi="Calibri Light"/>
      <w:color w:val="413642"/>
      <w:sz w:val="20"/>
      <w:szCs w:val="24"/>
      <w:lang w:val="en-US"/>
    </w:rPr>
  </w:style>
  <w:style w:type="paragraph" w:styleId="NormalWeb">
    <w:name w:val="Normal (Web)"/>
    <w:basedOn w:val="Normal"/>
    <w:uiPriority w:val="99"/>
    <w:unhideWhenUsed/>
    <w:rsid w:val="00406522"/>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BodyBullett">
    <w:name w:val="Body Bullett"/>
    <w:basedOn w:val="Normal"/>
    <w:rsid w:val="00406522"/>
    <w:pPr>
      <w:numPr>
        <w:ilvl w:val="1"/>
        <w:numId w:val="15"/>
      </w:numPr>
      <w:spacing w:before="40"/>
    </w:pPr>
    <w:rPr>
      <w:rFonts w:ascii="Verdana" w:eastAsia="Arial Unicode MS" w:hAnsi="Verdana" w:cs="Times New Roman"/>
      <w:szCs w:val="20"/>
    </w:rPr>
  </w:style>
  <w:style w:type="paragraph" w:customStyle="1" w:styleId="CommentaryDTFBullet">
    <w:name w:val="Commentary DTF Bullet"/>
    <w:basedOn w:val="BodyBullett"/>
    <w:rsid w:val="00406522"/>
    <w:pPr>
      <w:numPr>
        <w:ilvl w:val="0"/>
        <w:numId w:val="0"/>
      </w:numPr>
    </w:pPr>
    <w:rPr>
      <w:color w:val="FF0000"/>
    </w:rPr>
  </w:style>
  <w:style w:type="character" w:styleId="CommentReference">
    <w:name w:val="annotation reference"/>
    <w:basedOn w:val="DefaultParagraphFont"/>
    <w:uiPriority w:val="99"/>
    <w:semiHidden/>
    <w:unhideWhenUsed/>
    <w:rsid w:val="00406522"/>
    <w:rPr>
      <w:sz w:val="16"/>
      <w:szCs w:val="16"/>
    </w:rPr>
  </w:style>
  <w:style w:type="paragraph" w:styleId="CommentText">
    <w:name w:val="annotation text"/>
    <w:basedOn w:val="Normal"/>
    <w:link w:val="CommentTextChar"/>
    <w:uiPriority w:val="99"/>
    <w:unhideWhenUsed/>
    <w:rsid w:val="00406522"/>
    <w:rPr>
      <w:rFonts w:eastAsiaTheme="minorEastAsia"/>
      <w:szCs w:val="20"/>
      <w:lang w:val="en-US"/>
    </w:rPr>
  </w:style>
  <w:style w:type="character" w:customStyle="1" w:styleId="CommentTextChar">
    <w:name w:val="Comment Text Char"/>
    <w:basedOn w:val="DefaultParagraphFont"/>
    <w:link w:val="CommentText"/>
    <w:uiPriority w:val="99"/>
    <w:rsid w:val="00406522"/>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406522"/>
    <w:rPr>
      <w:b/>
      <w:bCs/>
    </w:rPr>
  </w:style>
  <w:style w:type="character" w:customStyle="1" w:styleId="CommentSubjectChar">
    <w:name w:val="Comment Subject Char"/>
    <w:basedOn w:val="CommentTextChar"/>
    <w:link w:val="CommentSubject"/>
    <w:uiPriority w:val="99"/>
    <w:semiHidden/>
    <w:rsid w:val="00406522"/>
    <w:rPr>
      <w:rFonts w:eastAsiaTheme="minorEastAsia"/>
      <w:b/>
      <w:bCs/>
      <w:sz w:val="20"/>
      <w:szCs w:val="20"/>
      <w:lang w:val="en-US"/>
    </w:rPr>
  </w:style>
  <w:style w:type="paragraph" w:customStyle="1" w:styleId="9TableText">
    <w:name w:val="9. Table Text"/>
    <w:basedOn w:val="Normal"/>
    <w:rsid w:val="00406522"/>
    <w:pPr>
      <w:numPr>
        <w:numId w:val="13"/>
      </w:numPr>
      <w:spacing w:before="60" w:after="60"/>
    </w:pPr>
    <w:rPr>
      <w:rFonts w:ascii="Arial" w:eastAsia="Calibri" w:hAnsi="Arial" w:cs="Arial"/>
      <w:color w:val="000000"/>
    </w:rPr>
  </w:style>
  <w:style w:type="paragraph" w:customStyle="1" w:styleId="9aTableHeading">
    <w:name w:val="9a. Table Heading"/>
    <w:basedOn w:val="9TableText"/>
    <w:rsid w:val="00406522"/>
    <w:pPr>
      <w:numPr>
        <w:ilvl w:val="1"/>
      </w:numPr>
      <w:jc w:val="center"/>
    </w:pPr>
  </w:style>
  <w:style w:type="paragraph" w:customStyle="1" w:styleId="9cTabletextsubparagraphnumbered">
    <w:name w:val="9c. Table text sub paragraph (numbered)"/>
    <w:basedOn w:val="Normal"/>
    <w:rsid w:val="00406522"/>
    <w:pPr>
      <w:tabs>
        <w:tab w:val="num" w:pos="851"/>
      </w:tabs>
      <w:spacing w:before="60" w:after="60"/>
      <w:ind w:left="851" w:hanging="567"/>
    </w:pPr>
    <w:rPr>
      <w:rFonts w:ascii="Arial" w:eastAsia="Calibri" w:hAnsi="Arial" w:cs="Times New Roman"/>
      <w:color w:val="000000"/>
    </w:rPr>
  </w:style>
  <w:style w:type="paragraph" w:customStyle="1" w:styleId="BQBullet0">
    <w:name w:val="BQ Bullet"/>
    <w:basedOn w:val="BQBodyCopy"/>
    <w:link w:val="BQBulletChar0"/>
    <w:rsid w:val="00406522"/>
    <w:pPr>
      <w:ind w:left="720" w:hanging="360"/>
    </w:pPr>
  </w:style>
  <w:style w:type="character" w:customStyle="1" w:styleId="BQBulletChar0">
    <w:name w:val="BQ Bullet Char"/>
    <w:basedOn w:val="BQBodyCopyChar"/>
    <w:link w:val="BQBullet0"/>
    <w:rsid w:val="00406522"/>
    <w:rPr>
      <w:rFonts w:ascii="Calibri Light" w:eastAsiaTheme="minorEastAsia" w:hAnsi="Calibri Light"/>
      <w:color w:val="413642"/>
      <w:sz w:val="20"/>
      <w:szCs w:val="24"/>
      <w:lang w:val="en-US"/>
    </w:rPr>
  </w:style>
  <w:style w:type="character" w:customStyle="1" w:styleId="ListParagraphChar">
    <w:name w:val="List Paragraph Char"/>
    <w:basedOn w:val="DefaultParagraphFont"/>
    <w:link w:val="ListParagraph0"/>
    <w:uiPriority w:val="34"/>
    <w:rsid w:val="00406522"/>
    <w:rPr>
      <w:rFonts w:ascii="Gotham Thin" w:eastAsia="Times New Roman" w:hAnsi="Gotham Thin" w:cs="Times New Roman"/>
      <w:sz w:val="20"/>
      <w:szCs w:val="24"/>
      <w:lang w:eastAsia="en-AU"/>
    </w:rPr>
  </w:style>
  <w:style w:type="table" w:customStyle="1" w:styleId="TableGrid1">
    <w:name w:val="Table Grid1"/>
    <w:basedOn w:val="TableNormal"/>
    <w:next w:val="TableGrid"/>
    <w:uiPriority w:val="39"/>
    <w:rsid w:val="00406522"/>
    <w:pPr>
      <w:spacing w:before="0" w:after="0"/>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Qtopofpage">
    <w:name w:val="BQ top of page"/>
    <w:basedOn w:val="BQBody"/>
    <w:rsid w:val="00406522"/>
    <w:pPr>
      <w:pageBreakBefore/>
    </w:pPr>
    <w:rPr>
      <w:sz w:val="36"/>
      <w:szCs w:val="36"/>
    </w:rPr>
  </w:style>
  <w:style w:type="paragraph" w:customStyle="1" w:styleId="calloutbox">
    <w:name w:val="call out box"/>
    <w:basedOn w:val="BQBody"/>
    <w:link w:val="calloutboxChar"/>
    <w:rsid w:val="00406522"/>
    <w:pPr>
      <w:pBdr>
        <w:top w:val="single" w:sz="18" w:space="8" w:color="DE7C00"/>
        <w:left w:val="single" w:sz="18" w:space="8" w:color="DE7C00"/>
        <w:bottom w:val="single" w:sz="18" w:space="8" w:color="DE7C00"/>
        <w:right w:val="single" w:sz="18" w:space="8" w:color="DE7C00"/>
      </w:pBdr>
      <w:spacing w:before="240" w:after="240"/>
      <w:ind w:left="567" w:right="567"/>
      <w:contextualSpacing/>
    </w:pPr>
  </w:style>
  <w:style w:type="character" w:customStyle="1" w:styleId="calloutboxChar">
    <w:name w:val="call out box Char"/>
    <w:basedOn w:val="BQBodyChar"/>
    <w:link w:val="calloutbox"/>
    <w:rsid w:val="00406522"/>
    <w:rPr>
      <w:rFonts w:ascii="Calibri Light" w:eastAsiaTheme="minorEastAsia" w:hAnsi="Calibri Light"/>
      <w:color w:val="413642"/>
      <w:sz w:val="20"/>
      <w:szCs w:val="24"/>
      <w:lang w:val="en-US"/>
    </w:rPr>
  </w:style>
  <w:style w:type="paragraph" w:styleId="EndnoteText">
    <w:name w:val="endnote text"/>
    <w:basedOn w:val="Normal"/>
    <w:link w:val="EndnoteTextChar"/>
    <w:uiPriority w:val="99"/>
    <w:semiHidden/>
    <w:unhideWhenUsed/>
    <w:rsid w:val="00406522"/>
    <w:rPr>
      <w:rFonts w:eastAsiaTheme="minorEastAsia"/>
      <w:szCs w:val="20"/>
    </w:rPr>
  </w:style>
  <w:style w:type="character" w:customStyle="1" w:styleId="EndnoteTextChar">
    <w:name w:val="Endnote Text Char"/>
    <w:basedOn w:val="DefaultParagraphFont"/>
    <w:link w:val="EndnoteText"/>
    <w:uiPriority w:val="99"/>
    <w:semiHidden/>
    <w:rsid w:val="00406522"/>
    <w:rPr>
      <w:rFonts w:eastAsiaTheme="minorEastAsia"/>
      <w:sz w:val="20"/>
      <w:szCs w:val="20"/>
    </w:rPr>
  </w:style>
  <w:style w:type="character" w:styleId="Strong">
    <w:name w:val="Strong"/>
    <w:basedOn w:val="DefaultParagraphFont"/>
    <w:uiPriority w:val="22"/>
    <w:qFormat/>
    <w:rsid w:val="002E6048"/>
    <w:rPr>
      <w:rFonts w:ascii="Gotham" w:hAnsi="Gotham"/>
      <w:b/>
      <w:bCs/>
    </w:rPr>
  </w:style>
  <w:style w:type="paragraph" w:customStyle="1" w:styleId="Sections">
    <w:name w:val="Sections"/>
    <w:basedOn w:val="BodyTextIndent3"/>
    <w:rsid w:val="00406522"/>
    <w:pPr>
      <w:ind w:left="1080"/>
    </w:pPr>
  </w:style>
  <w:style w:type="paragraph" w:styleId="BodyTextIndent3">
    <w:name w:val="Body Text Indent 3"/>
    <w:basedOn w:val="Normal"/>
    <w:link w:val="BodyTextIndent3Char"/>
    <w:uiPriority w:val="99"/>
    <w:semiHidden/>
    <w:unhideWhenUsed/>
    <w:rsid w:val="00406522"/>
    <w:pPr>
      <w:spacing w:after="120"/>
      <w:ind w:left="283"/>
    </w:pPr>
    <w:rPr>
      <w:rFonts w:eastAsiaTheme="minorEastAsia"/>
      <w:sz w:val="16"/>
      <w:szCs w:val="16"/>
    </w:rPr>
  </w:style>
  <w:style w:type="character" w:customStyle="1" w:styleId="BodyTextIndent3Char">
    <w:name w:val="Body Text Indent 3 Char"/>
    <w:basedOn w:val="DefaultParagraphFont"/>
    <w:link w:val="BodyTextIndent3"/>
    <w:uiPriority w:val="99"/>
    <w:semiHidden/>
    <w:rsid w:val="00406522"/>
    <w:rPr>
      <w:rFonts w:eastAsiaTheme="minorEastAsia"/>
      <w:sz w:val="16"/>
      <w:szCs w:val="16"/>
    </w:rPr>
  </w:style>
  <w:style w:type="paragraph" w:customStyle="1" w:styleId="BQbullet2">
    <w:name w:val="BQ bullet 2"/>
    <w:basedOn w:val="BQBullet"/>
    <w:rsid w:val="00406522"/>
    <w:pPr>
      <w:numPr>
        <w:ilvl w:val="1"/>
      </w:numPr>
    </w:pPr>
  </w:style>
  <w:style w:type="paragraph" w:customStyle="1" w:styleId="BQnumberedbullet">
    <w:name w:val="BQ numbered bullet"/>
    <w:basedOn w:val="BQBody"/>
    <w:rsid w:val="00406522"/>
    <w:pPr>
      <w:numPr>
        <w:numId w:val="16"/>
      </w:numPr>
      <w:tabs>
        <w:tab w:val="num" w:pos="1134"/>
      </w:tabs>
      <w:ind w:left="1134" w:hanging="1134"/>
    </w:pPr>
  </w:style>
  <w:style w:type="paragraph" w:customStyle="1" w:styleId="BQNumberedPara">
    <w:name w:val="BQ Numbered Para"/>
    <w:basedOn w:val="BQBody"/>
    <w:rsid w:val="00406522"/>
    <w:pPr>
      <w:ind w:left="426" w:hanging="426"/>
    </w:pPr>
  </w:style>
  <w:style w:type="paragraph" w:customStyle="1" w:styleId="BQsections">
    <w:name w:val="BQ sections"/>
    <w:basedOn w:val="BQnumberedbullet"/>
    <w:rsid w:val="00406522"/>
    <w:pPr>
      <w:numPr>
        <w:numId w:val="17"/>
      </w:numPr>
      <w:tabs>
        <w:tab w:val="num" w:pos="397"/>
      </w:tabs>
      <w:ind w:left="397" w:hanging="284"/>
    </w:pPr>
  </w:style>
  <w:style w:type="character" w:styleId="Emphasis">
    <w:name w:val="Emphasis"/>
    <w:basedOn w:val="DefaultParagraphFont"/>
    <w:uiPriority w:val="20"/>
    <w:qFormat/>
    <w:rsid w:val="002E6048"/>
    <w:rPr>
      <w:rFonts w:ascii="Gotham" w:hAnsi="Gotham"/>
      <w:i/>
      <w:iCs/>
    </w:rPr>
  </w:style>
  <w:style w:type="paragraph" w:customStyle="1" w:styleId="BQletteredbullet">
    <w:name w:val="BQ lettered bullet"/>
    <w:rsid w:val="00406522"/>
    <w:pPr>
      <w:numPr>
        <w:numId w:val="19"/>
      </w:numPr>
      <w:spacing w:before="120" w:after="120"/>
      <w:ind w:hanging="720"/>
    </w:pPr>
    <w:rPr>
      <w:rFonts w:ascii="Calibri Light" w:eastAsiaTheme="minorEastAsia" w:hAnsi="Calibri Light"/>
      <w:lang w:val="en-US"/>
    </w:rPr>
  </w:style>
  <w:style w:type="paragraph" w:styleId="Revision">
    <w:name w:val="Revision"/>
    <w:hidden/>
    <w:uiPriority w:val="99"/>
    <w:semiHidden/>
    <w:rsid w:val="00406522"/>
    <w:pPr>
      <w:spacing w:before="0" w:after="0"/>
    </w:pPr>
    <w:rPr>
      <w:rFonts w:eastAsiaTheme="minorEastAsia"/>
      <w:sz w:val="24"/>
      <w:szCs w:val="24"/>
    </w:rPr>
  </w:style>
  <w:style w:type="paragraph" w:customStyle="1" w:styleId="Contentslistheading1">
    <w:name w:val="Contents list heading 1"/>
    <w:basedOn w:val="BQHeading1"/>
    <w:rsid w:val="00406522"/>
    <w:pPr>
      <w:numPr>
        <w:numId w:val="20"/>
      </w:numPr>
      <w:ind w:left="360"/>
    </w:pPr>
  </w:style>
  <w:style w:type="paragraph" w:customStyle="1" w:styleId="ContentsListHeading2">
    <w:name w:val="Contents List Heading 2"/>
    <w:basedOn w:val="Contentslistheading1"/>
    <w:rsid w:val="00406522"/>
  </w:style>
  <w:style w:type="table" w:styleId="PlainTable1">
    <w:name w:val="Plain Table 1"/>
    <w:basedOn w:val="TableNormal"/>
    <w:uiPriority w:val="41"/>
    <w:rsid w:val="00B502E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aptionChar">
    <w:name w:val="Caption Char"/>
    <w:link w:val="Caption"/>
    <w:uiPriority w:val="35"/>
    <w:rsid w:val="007E5711"/>
    <w:rPr>
      <w:b/>
    </w:rPr>
  </w:style>
  <w:style w:type="paragraph" w:customStyle="1" w:styleId="BodyText1">
    <w:name w:val="Body Text1"/>
    <w:basedOn w:val="BodyText"/>
    <w:link w:val="BodytextChar0"/>
    <w:qFormat/>
    <w:rsid w:val="002E6048"/>
    <w:pPr>
      <w:keepLines/>
      <w:spacing w:before="0" w:line="240" w:lineRule="auto"/>
      <w:jc w:val="both"/>
    </w:pPr>
    <w:rPr>
      <w:rFonts w:ascii="Gotham" w:hAnsi="Gotham"/>
      <w:lang w:val="en"/>
    </w:rPr>
  </w:style>
  <w:style w:type="paragraph" w:customStyle="1" w:styleId="Bulletpoints">
    <w:name w:val="Bullet points"/>
    <w:basedOn w:val="BodyText"/>
    <w:rsid w:val="007E5711"/>
    <w:pPr>
      <w:keepLines/>
      <w:numPr>
        <w:numId w:val="21"/>
      </w:numPr>
      <w:spacing w:before="0" w:line="240" w:lineRule="auto"/>
      <w:jc w:val="both"/>
    </w:pPr>
    <w:rPr>
      <w:rFonts w:ascii="Arial" w:hAnsi="Arial" w:cs="Arial"/>
      <w:szCs w:val="22"/>
      <w:lang w:val="en"/>
    </w:rPr>
  </w:style>
  <w:style w:type="character" w:customStyle="1" w:styleId="BodytextChar0">
    <w:name w:val="Body text Char"/>
    <w:basedOn w:val="BodyTextChar"/>
    <w:link w:val="BodyText1"/>
    <w:rsid w:val="002E6048"/>
    <w:rPr>
      <w:rFonts w:ascii="Gotham" w:eastAsia="Times New Roman" w:hAnsi="Gotham" w:cs="Times New Roman"/>
      <w:sz w:val="20"/>
      <w:szCs w:val="24"/>
      <w:lang w:val="en" w:eastAsia="en-AU"/>
    </w:rPr>
  </w:style>
  <w:style w:type="paragraph" w:customStyle="1" w:styleId="NormalHeader">
    <w:name w:val="Normal Header"/>
    <w:basedOn w:val="BodyText"/>
    <w:qFormat/>
    <w:rsid w:val="007E5711"/>
    <w:pPr>
      <w:spacing w:before="0" w:line="240" w:lineRule="auto"/>
    </w:pPr>
    <w:rPr>
      <w:rFonts w:ascii="Arial" w:hAnsi="Arial"/>
      <w:szCs w:val="20"/>
    </w:rPr>
  </w:style>
  <w:style w:type="character" w:styleId="UnresolvedMention">
    <w:name w:val="Unresolved Mention"/>
    <w:basedOn w:val="DefaultParagraphFont"/>
    <w:uiPriority w:val="99"/>
    <w:semiHidden/>
    <w:unhideWhenUsed/>
    <w:rsid w:val="00932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6729">
      <w:bodyDiv w:val="1"/>
      <w:marLeft w:val="0"/>
      <w:marRight w:val="0"/>
      <w:marTop w:val="0"/>
      <w:marBottom w:val="0"/>
      <w:divBdr>
        <w:top w:val="none" w:sz="0" w:space="0" w:color="auto"/>
        <w:left w:val="none" w:sz="0" w:space="0" w:color="auto"/>
        <w:bottom w:val="none" w:sz="0" w:space="0" w:color="auto"/>
        <w:right w:val="none" w:sz="0" w:space="0" w:color="auto"/>
      </w:divBdr>
      <w:divsChild>
        <w:div w:id="342972692">
          <w:marLeft w:val="0"/>
          <w:marRight w:val="0"/>
          <w:marTop w:val="0"/>
          <w:marBottom w:val="0"/>
          <w:divBdr>
            <w:top w:val="none" w:sz="0" w:space="0" w:color="auto"/>
            <w:left w:val="none" w:sz="0" w:space="0" w:color="auto"/>
            <w:bottom w:val="none" w:sz="0" w:space="0" w:color="auto"/>
            <w:right w:val="none" w:sz="0" w:space="0" w:color="auto"/>
          </w:divBdr>
          <w:divsChild>
            <w:div w:id="679703560">
              <w:marLeft w:val="0"/>
              <w:marRight w:val="0"/>
              <w:marTop w:val="0"/>
              <w:marBottom w:val="0"/>
              <w:divBdr>
                <w:top w:val="none" w:sz="0" w:space="0" w:color="auto"/>
                <w:left w:val="none" w:sz="0" w:space="0" w:color="auto"/>
                <w:bottom w:val="none" w:sz="0" w:space="0" w:color="auto"/>
                <w:right w:val="none" w:sz="0" w:space="0" w:color="auto"/>
              </w:divBdr>
              <w:divsChild>
                <w:div w:id="738940661">
                  <w:marLeft w:val="0"/>
                  <w:marRight w:val="0"/>
                  <w:marTop w:val="0"/>
                  <w:marBottom w:val="0"/>
                  <w:divBdr>
                    <w:top w:val="none" w:sz="0" w:space="0" w:color="auto"/>
                    <w:left w:val="none" w:sz="0" w:space="0" w:color="auto"/>
                    <w:bottom w:val="none" w:sz="0" w:space="0" w:color="auto"/>
                    <w:right w:val="none" w:sz="0" w:space="0" w:color="auto"/>
                  </w:divBdr>
                  <w:divsChild>
                    <w:div w:id="642849715">
                      <w:marLeft w:val="0"/>
                      <w:marRight w:val="0"/>
                      <w:marTop w:val="0"/>
                      <w:marBottom w:val="0"/>
                      <w:divBdr>
                        <w:top w:val="none" w:sz="0" w:space="0" w:color="auto"/>
                        <w:left w:val="none" w:sz="0" w:space="0" w:color="auto"/>
                        <w:bottom w:val="none" w:sz="0" w:space="0" w:color="auto"/>
                        <w:right w:val="none" w:sz="0" w:space="0" w:color="auto"/>
                      </w:divBdr>
                      <w:divsChild>
                        <w:div w:id="43640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72647">
      <w:bodyDiv w:val="1"/>
      <w:marLeft w:val="0"/>
      <w:marRight w:val="0"/>
      <w:marTop w:val="0"/>
      <w:marBottom w:val="0"/>
      <w:divBdr>
        <w:top w:val="none" w:sz="0" w:space="0" w:color="auto"/>
        <w:left w:val="none" w:sz="0" w:space="0" w:color="auto"/>
        <w:bottom w:val="none" w:sz="0" w:space="0" w:color="auto"/>
        <w:right w:val="none" w:sz="0" w:space="0" w:color="auto"/>
      </w:divBdr>
    </w:div>
    <w:div w:id="493491060">
      <w:bodyDiv w:val="1"/>
      <w:marLeft w:val="0"/>
      <w:marRight w:val="0"/>
      <w:marTop w:val="0"/>
      <w:marBottom w:val="0"/>
      <w:divBdr>
        <w:top w:val="none" w:sz="0" w:space="0" w:color="auto"/>
        <w:left w:val="none" w:sz="0" w:space="0" w:color="auto"/>
        <w:bottom w:val="none" w:sz="0" w:space="0" w:color="auto"/>
        <w:right w:val="none" w:sz="0" w:space="0" w:color="auto"/>
      </w:divBdr>
    </w:div>
    <w:div w:id="750396163">
      <w:bodyDiv w:val="1"/>
      <w:marLeft w:val="0"/>
      <w:marRight w:val="0"/>
      <w:marTop w:val="0"/>
      <w:marBottom w:val="0"/>
      <w:divBdr>
        <w:top w:val="none" w:sz="0" w:space="0" w:color="auto"/>
        <w:left w:val="none" w:sz="0" w:space="0" w:color="auto"/>
        <w:bottom w:val="none" w:sz="0" w:space="0" w:color="auto"/>
        <w:right w:val="none" w:sz="0" w:space="0" w:color="auto"/>
      </w:divBdr>
    </w:div>
    <w:div w:id="1153912038">
      <w:bodyDiv w:val="1"/>
      <w:marLeft w:val="0"/>
      <w:marRight w:val="0"/>
      <w:marTop w:val="0"/>
      <w:marBottom w:val="0"/>
      <w:divBdr>
        <w:top w:val="none" w:sz="0" w:space="0" w:color="auto"/>
        <w:left w:val="none" w:sz="0" w:space="0" w:color="auto"/>
        <w:bottom w:val="none" w:sz="0" w:space="0" w:color="auto"/>
        <w:right w:val="none" w:sz="0" w:space="0" w:color="auto"/>
      </w:divBdr>
    </w:div>
    <w:div w:id="1228491560">
      <w:bodyDiv w:val="1"/>
      <w:marLeft w:val="0"/>
      <w:marRight w:val="0"/>
      <w:marTop w:val="0"/>
      <w:marBottom w:val="0"/>
      <w:divBdr>
        <w:top w:val="none" w:sz="0" w:space="0" w:color="auto"/>
        <w:left w:val="none" w:sz="0" w:space="0" w:color="auto"/>
        <w:bottom w:val="none" w:sz="0" w:space="0" w:color="auto"/>
        <w:right w:val="none" w:sz="0" w:space="0" w:color="auto"/>
      </w:divBdr>
    </w:div>
    <w:div w:id="1392073335">
      <w:bodyDiv w:val="1"/>
      <w:marLeft w:val="0"/>
      <w:marRight w:val="0"/>
      <w:marTop w:val="0"/>
      <w:marBottom w:val="0"/>
      <w:divBdr>
        <w:top w:val="none" w:sz="0" w:space="0" w:color="auto"/>
        <w:left w:val="none" w:sz="0" w:space="0" w:color="auto"/>
        <w:bottom w:val="none" w:sz="0" w:space="0" w:color="auto"/>
        <w:right w:val="none" w:sz="0" w:space="0" w:color="auto"/>
      </w:divBdr>
    </w:div>
    <w:div w:id="1598715801">
      <w:bodyDiv w:val="1"/>
      <w:marLeft w:val="0"/>
      <w:marRight w:val="0"/>
      <w:marTop w:val="0"/>
      <w:marBottom w:val="0"/>
      <w:divBdr>
        <w:top w:val="none" w:sz="0" w:space="0" w:color="auto"/>
        <w:left w:val="none" w:sz="0" w:space="0" w:color="auto"/>
        <w:bottom w:val="none" w:sz="0" w:space="0" w:color="auto"/>
        <w:right w:val="none" w:sz="0" w:space="0" w:color="auto"/>
      </w:divBdr>
    </w:div>
    <w:div w:id="1884294391">
      <w:bodyDiv w:val="1"/>
      <w:marLeft w:val="0"/>
      <w:marRight w:val="0"/>
      <w:marTop w:val="0"/>
      <w:marBottom w:val="0"/>
      <w:divBdr>
        <w:top w:val="none" w:sz="0" w:space="0" w:color="auto"/>
        <w:left w:val="none" w:sz="0" w:space="0" w:color="auto"/>
        <w:bottom w:val="none" w:sz="0" w:space="0" w:color="auto"/>
        <w:right w:val="none" w:sz="0" w:space="0" w:color="auto"/>
      </w:divBdr>
    </w:div>
    <w:div w:id="1923223084">
      <w:bodyDiv w:val="1"/>
      <w:marLeft w:val="0"/>
      <w:marRight w:val="0"/>
      <w:marTop w:val="0"/>
      <w:marBottom w:val="0"/>
      <w:divBdr>
        <w:top w:val="none" w:sz="0" w:space="0" w:color="auto"/>
        <w:left w:val="none" w:sz="0" w:space="0" w:color="auto"/>
        <w:bottom w:val="none" w:sz="0" w:space="0" w:color="auto"/>
        <w:right w:val="none" w:sz="0" w:space="0" w:color="auto"/>
      </w:divBdr>
    </w:div>
    <w:div w:id="1927181206">
      <w:bodyDiv w:val="1"/>
      <w:marLeft w:val="0"/>
      <w:marRight w:val="0"/>
      <w:marTop w:val="0"/>
      <w:marBottom w:val="0"/>
      <w:divBdr>
        <w:top w:val="none" w:sz="0" w:space="0" w:color="auto"/>
        <w:left w:val="none" w:sz="0" w:space="0" w:color="auto"/>
        <w:bottom w:val="none" w:sz="0" w:space="0" w:color="auto"/>
        <w:right w:val="none" w:sz="0" w:space="0" w:color="auto"/>
      </w:divBdr>
    </w:div>
    <w:div w:id="1956865818">
      <w:bodyDiv w:val="1"/>
      <w:marLeft w:val="0"/>
      <w:marRight w:val="0"/>
      <w:marTop w:val="0"/>
      <w:marBottom w:val="0"/>
      <w:divBdr>
        <w:top w:val="none" w:sz="0" w:space="0" w:color="auto"/>
        <w:left w:val="none" w:sz="0" w:space="0" w:color="auto"/>
        <w:bottom w:val="none" w:sz="0" w:space="0" w:color="auto"/>
        <w:right w:val="none" w:sz="0" w:space="0" w:color="auto"/>
      </w:divBdr>
    </w:div>
    <w:div w:id="211716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adc.nsw.gov.au"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erine.McAulay\AppData\Local\Microsoft\Windows\INetCache\IE\V8SOBII8\1%20DBC%20Governance%20Chapt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14042"/>
      </a:dk2>
      <a:lt2>
        <a:srgbClr val="F1F2F2"/>
      </a:lt2>
      <a:accent1>
        <a:srgbClr val="324851"/>
      </a:accent1>
      <a:accent2>
        <a:srgbClr val="414042"/>
      </a:accent2>
      <a:accent3>
        <a:srgbClr val="122872"/>
      </a:accent3>
      <a:accent4>
        <a:srgbClr val="2BDCF5"/>
      </a:accent4>
      <a:accent5>
        <a:srgbClr val="86E641"/>
      </a:accent5>
      <a:accent6>
        <a:srgbClr val="D5D6D8"/>
      </a:accent6>
      <a:hlink>
        <a:srgbClr val="324851"/>
      </a:hlink>
      <a:folHlink>
        <a:srgbClr val="324851"/>
      </a:folHlink>
    </a:clrScheme>
    <a:fontScheme name="Calibri Light">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b"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82B57C00F6BB44933CB7C526F225E6" ma:contentTypeVersion="5" ma:contentTypeDescription="Create a new document." ma:contentTypeScope="" ma:versionID="0ee2c39fc4324950c80a453b4822b7c3">
  <xsd:schema xmlns:xsd="http://www.w3.org/2001/XMLSchema" xmlns:xs="http://www.w3.org/2001/XMLSchema" xmlns:p="http://schemas.microsoft.com/office/2006/metadata/properties" xmlns:ns2="6a96e1dc-975a-422b-9d7a-8853a4bcd9ca" targetNamespace="http://schemas.microsoft.com/office/2006/metadata/properties" ma:root="true" ma:fieldsID="7637244c1ca02dca148c0ad1aa00db97" ns2:_="">
    <xsd:import namespace="6a96e1dc-975a-422b-9d7a-8853a4bcd9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6e1dc-975a-422b-9d7a-8853a4bcd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43BEFD-7068-4C8F-99A9-D40C6B7A8CD1}">
  <ds:schemaRefs>
    <ds:schemaRef ds:uri="http://schemas.openxmlformats.org/officeDocument/2006/bibliography"/>
  </ds:schemaRefs>
</ds:datastoreItem>
</file>

<file path=customXml/itemProps2.xml><?xml version="1.0" encoding="utf-8"?>
<ds:datastoreItem xmlns:ds="http://schemas.openxmlformats.org/officeDocument/2006/customXml" ds:itemID="{412056C9-95FD-480E-AA69-1B7972A1458D}">
  <ds:schemaRefs>
    <ds:schemaRef ds:uri="http://schemas.microsoft.com/sharepoint/v3/contenttype/forms"/>
  </ds:schemaRefs>
</ds:datastoreItem>
</file>

<file path=customXml/itemProps3.xml><?xml version="1.0" encoding="utf-8"?>
<ds:datastoreItem xmlns:ds="http://schemas.openxmlformats.org/officeDocument/2006/customXml" ds:itemID="{FD31C75B-8691-46E7-B1B9-510175D36464}">
  <ds:schemaRefs>
    <ds:schemaRef ds:uri="http://purl.org/dc/dcmitype/"/>
    <ds:schemaRef ds:uri="http://purl.org/dc/elements/1.1/"/>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6a96e1dc-975a-422b-9d7a-8853a4bcd9ca"/>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CB8F7C56-D7DA-4386-B50F-352E82F04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6e1dc-975a-422b-9d7a-8853a4bcd9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 DBC Governance Chapter</Template>
  <TotalTime>1</TotalTime>
  <Pages>11</Pages>
  <Words>4666</Words>
  <Characters>26598</Characters>
  <Application>Microsoft Office Word</Application>
  <DocSecurity>12</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Building Queensland</Company>
  <LinksUpToDate>false</LinksUpToDate>
  <CharactersWithSpaces>31202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INSERT HEADER HERE</dc:subject>
  <dc:creator>Katherine McAulay</dc:creator>
  <cp:lastModifiedBy>Renee Kastanias</cp:lastModifiedBy>
  <cp:revision>2</cp:revision>
  <cp:lastPrinted>2023-03-02T00:03:00Z</cp:lastPrinted>
  <dcterms:created xsi:type="dcterms:W3CDTF">2023-12-05T22:19:00Z</dcterms:created>
  <dcterms:modified xsi:type="dcterms:W3CDTF">2023-12-05T22:19:00Z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0x010100AC82B57C00F6BB44933CB7C526F225E6</vt:lpwstr>
  </property>
</Properties>
</file>