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D7" w:rsidRPr="001A2E2E" w:rsidRDefault="006F4201" w:rsidP="001151A5">
      <w:pPr>
        <w:pStyle w:val="SectionTitle"/>
        <w:spacing w:before="1800" w:after="0"/>
        <w:rPr>
          <w:rFonts w:ascii="Public Sans" w:hAnsi="Public Sans"/>
          <w:color w:val="002060"/>
        </w:rPr>
      </w:pPr>
      <w:r>
        <w:rPr>
          <w:rFonts w:ascii="Public Sans" w:hAnsi="Public Sans"/>
          <w:color w:val="002060"/>
        </w:rPr>
        <w:t xml:space="preserve">NSW </w:t>
      </w:r>
      <w:r w:rsidR="002E6048" w:rsidRPr="001A2E2E">
        <w:rPr>
          <w:rFonts w:ascii="Public Sans" w:hAnsi="Public Sans"/>
          <w:color w:val="002060"/>
        </w:rPr>
        <w:t>Ageing and disability commission</w:t>
      </w:r>
      <w:r w:rsidR="00C828D7" w:rsidRPr="001A2E2E">
        <w:rPr>
          <w:rFonts w:ascii="Public Sans" w:hAnsi="Public Sans"/>
          <w:color w:val="002060"/>
        </w:rPr>
        <w:t xml:space="preserve"> </w:t>
      </w:r>
    </w:p>
    <w:p w:rsidR="001151A5" w:rsidRDefault="001151A5" w:rsidP="001151A5">
      <w:pPr>
        <w:rPr>
          <w:rStyle w:val="ChapterSubheading"/>
          <w:rFonts w:ascii="Public Sans" w:hAnsi="Public Sans"/>
          <w:color w:val="002060"/>
        </w:rPr>
      </w:pPr>
    </w:p>
    <w:p w:rsidR="002E6048" w:rsidRDefault="00CC314B" w:rsidP="001151A5">
      <w:pPr>
        <w:rPr>
          <w:rStyle w:val="ChapterSubheading"/>
          <w:rFonts w:ascii="Public Sans" w:hAnsi="Public Sans"/>
          <w:color w:val="002060"/>
        </w:rPr>
      </w:pPr>
      <w:r>
        <w:rPr>
          <w:rStyle w:val="ChapterSubheading"/>
          <w:rFonts w:ascii="Public Sans" w:hAnsi="Public Sans"/>
          <w:color w:val="002060"/>
        </w:rPr>
        <w:t xml:space="preserve">submission to </w:t>
      </w:r>
      <w:r w:rsidR="0022567D">
        <w:rPr>
          <w:rStyle w:val="ChapterSubheading"/>
          <w:rFonts w:ascii="Public Sans" w:hAnsi="Public Sans"/>
          <w:color w:val="002060"/>
        </w:rPr>
        <w:t xml:space="preserve">THE </w:t>
      </w:r>
      <w:r>
        <w:rPr>
          <w:rStyle w:val="ChapterSubheading"/>
          <w:rFonts w:ascii="Public Sans" w:hAnsi="Public Sans"/>
          <w:color w:val="002060"/>
        </w:rPr>
        <w:t xml:space="preserve">nsw </w:t>
      </w:r>
      <w:r w:rsidR="001915C0">
        <w:rPr>
          <w:rStyle w:val="ChapterSubheading"/>
          <w:rFonts w:ascii="Public Sans" w:hAnsi="Public Sans"/>
          <w:color w:val="002060"/>
        </w:rPr>
        <w:t>LEGISLATIVE COUNCIL</w:t>
      </w:r>
      <w:r>
        <w:rPr>
          <w:rStyle w:val="ChapterSubheading"/>
          <w:rFonts w:ascii="Public Sans" w:hAnsi="Public Sans"/>
          <w:color w:val="002060"/>
        </w:rPr>
        <w:t xml:space="preserve"> inquiry into </w:t>
      </w:r>
      <w:r w:rsidRPr="00CC314B">
        <w:rPr>
          <w:rStyle w:val="ChapterSubheading"/>
          <w:rFonts w:ascii="Public Sans" w:hAnsi="Public Sans"/>
          <w:color w:val="002060"/>
        </w:rPr>
        <w:t>Homelessness amongst older people aged over 55 in New South Wales</w:t>
      </w:r>
      <w:r>
        <w:rPr>
          <w:rStyle w:val="ChapterSubheading"/>
          <w:rFonts w:ascii="Public Sans" w:hAnsi="Public Sans"/>
          <w:color w:val="002060"/>
        </w:rPr>
        <w:t xml:space="preserve"> </w:t>
      </w:r>
    </w:p>
    <w:p w:rsidR="00CC314B" w:rsidRPr="001A2E2E" w:rsidRDefault="00CC314B" w:rsidP="001151A5">
      <w:pPr>
        <w:rPr>
          <w:rFonts w:ascii="Public Sans" w:hAnsi="Public Sans"/>
          <w:color w:val="002060"/>
          <w:sz w:val="28"/>
          <w:szCs w:val="28"/>
          <w:lang w:eastAsia="en-AU"/>
        </w:rPr>
      </w:pPr>
    </w:p>
    <w:p w:rsidR="006F4201" w:rsidRDefault="006F4201" w:rsidP="001151A5">
      <w:pPr>
        <w:jc w:val="right"/>
        <w:rPr>
          <w:rFonts w:ascii="Public Sans" w:hAnsi="Public Sans"/>
          <w:color w:val="002060"/>
          <w:sz w:val="28"/>
          <w:szCs w:val="28"/>
          <w:lang w:eastAsia="en-AU"/>
        </w:rPr>
      </w:pPr>
    </w:p>
    <w:p w:rsidR="002B5DB1" w:rsidRPr="001A2E2E" w:rsidRDefault="006F4201" w:rsidP="001151A5">
      <w:pPr>
        <w:jc w:val="right"/>
        <w:rPr>
          <w:rFonts w:ascii="Public Sans" w:hAnsi="Public Sans"/>
          <w:color w:val="002060"/>
          <w:sz w:val="28"/>
          <w:szCs w:val="28"/>
          <w:lang w:eastAsia="en-AU"/>
        </w:rPr>
      </w:pPr>
      <w:r>
        <w:rPr>
          <w:rFonts w:ascii="Public Sans" w:hAnsi="Public Sans"/>
          <w:color w:val="002060"/>
          <w:sz w:val="28"/>
          <w:szCs w:val="28"/>
          <w:lang w:eastAsia="en-AU"/>
        </w:rPr>
        <w:t>June</w:t>
      </w:r>
      <w:r w:rsidR="007D19DC">
        <w:rPr>
          <w:rFonts w:ascii="Public Sans" w:hAnsi="Public Sans"/>
          <w:color w:val="002060"/>
          <w:sz w:val="28"/>
          <w:szCs w:val="28"/>
          <w:lang w:eastAsia="en-AU"/>
        </w:rPr>
        <w:t xml:space="preserve"> 2022</w:t>
      </w:r>
    </w:p>
    <w:p w:rsidR="00C828D7" w:rsidRPr="001A2E2E" w:rsidRDefault="00C828D7" w:rsidP="001151A5">
      <w:pPr>
        <w:pStyle w:val="Chaptertext"/>
        <w:spacing w:before="0" w:after="0" w:line="240" w:lineRule="auto"/>
        <w:rPr>
          <w:rFonts w:ascii="Public Sans" w:hAnsi="Public Sans"/>
          <w:color w:val="002060"/>
        </w:rPr>
      </w:pPr>
    </w:p>
    <w:p w:rsidR="003D4A27" w:rsidRPr="001A2E2E" w:rsidRDefault="003D4A27" w:rsidP="001151A5">
      <w:pPr>
        <w:pStyle w:val="TOCHeading"/>
        <w:spacing w:before="0" w:after="0"/>
        <w:rPr>
          <w:rFonts w:ascii="Public Sans" w:hAnsi="Public Sans"/>
          <w:color w:val="002060"/>
        </w:rPr>
      </w:pPr>
    </w:p>
    <w:p w:rsidR="000951C1" w:rsidRPr="001A2E2E" w:rsidRDefault="00185BAF" w:rsidP="001151A5">
      <w:pPr>
        <w:rPr>
          <w:rFonts w:ascii="Public Sans" w:hAnsi="Public Sans"/>
          <w:color w:val="002060"/>
          <w:lang w:eastAsia="en-AU"/>
        </w:rPr>
        <w:sectPr w:rsidR="000951C1" w:rsidRPr="001A2E2E" w:rsidSect="006915E2">
          <w:headerReference w:type="default" r:id="rId11"/>
          <w:footerReference w:type="default" r:id="rId12"/>
          <w:footerReference w:type="first" r:id="rId13"/>
          <w:pgSz w:w="11906" w:h="16838" w:code="9"/>
          <w:pgMar w:top="1134" w:right="1304" w:bottom="964" w:left="1304" w:header="567" w:footer="567" w:gutter="0"/>
          <w:pgNumType w:start="0"/>
          <w:cols w:space="708"/>
          <w:docGrid w:linePitch="360"/>
        </w:sectPr>
      </w:pPr>
      <w:r>
        <w:rPr>
          <w:rFonts w:ascii="Public Sans" w:hAnsi="Public Sans"/>
          <w:color w:val="002060"/>
          <w:lang w:eastAsia="en-AU"/>
        </w:rPr>
        <w:softHyphen/>
      </w:r>
    </w:p>
    <w:p w:rsidR="00317AD9" w:rsidRPr="001F3DB4" w:rsidRDefault="00317AD9" w:rsidP="00317AD9">
      <w:pPr>
        <w:pStyle w:val="NbrHeading1"/>
        <w:numPr>
          <w:ilvl w:val="0"/>
          <w:numId w:val="30"/>
        </w:numPr>
        <w:spacing w:after="0"/>
        <w:ind w:left="426" w:hanging="426"/>
        <w:rPr>
          <w:rFonts w:ascii="Public Sans" w:hAnsi="Public Sans"/>
          <w:b/>
          <w:color w:val="002060"/>
        </w:rPr>
      </w:pPr>
      <w:bookmarkStart w:id="0" w:name="_Toc434940756"/>
      <w:r w:rsidRPr="001F3DB4">
        <w:rPr>
          <w:rFonts w:ascii="Public Sans" w:hAnsi="Public Sans"/>
          <w:b/>
          <w:color w:val="002060"/>
        </w:rPr>
        <w:lastRenderedPageBreak/>
        <w:t xml:space="preserve">Background and context of our submission </w:t>
      </w:r>
    </w:p>
    <w:p w:rsidR="00317AD9" w:rsidRDefault="00317AD9" w:rsidP="00317AD9">
      <w:pPr>
        <w:widowControl w:val="0"/>
        <w:rPr>
          <w:rFonts w:ascii="Public Sans" w:eastAsia="Times New Roman" w:hAnsi="Public Sans" w:cs="Arial"/>
          <w:color w:val="000000"/>
          <w:sz w:val="22"/>
          <w:u w:color="000000"/>
          <w:lang w:eastAsia="en-AU"/>
        </w:rPr>
      </w:pPr>
    </w:p>
    <w:p w:rsidR="00317AD9" w:rsidRPr="00CC314B" w:rsidRDefault="00317AD9" w:rsidP="00317AD9">
      <w:pPr>
        <w:widowControl w:val="0"/>
        <w:rPr>
          <w:rFonts w:ascii="Public Sans" w:eastAsia="Times New Roman" w:hAnsi="Public Sans" w:cs="Arial"/>
          <w:color w:val="000000"/>
          <w:sz w:val="22"/>
          <w:u w:color="000000"/>
          <w:lang w:eastAsia="en-AU"/>
        </w:rPr>
      </w:pPr>
      <w:r w:rsidRPr="00CC314B">
        <w:rPr>
          <w:rFonts w:ascii="Public Sans" w:eastAsia="Times New Roman" w:hAnsi="Public Sans" w:cs="Arial"/>
          <w:color w:val="000000"/>
          <w:sz w:val="22"/>
          <w:u w:color="000000"/>
          <w:lang w:eastAsia="en-AU"/>
        </w:rPr>
        <w:t xml:space="preserve">The NSW Ageing and Disability Commission (ADC) commenced on 1 July 2019. The ADC is an independent statutory body, which is focused on protecting adults with disability and older </w:t>
      </w:r>
      <w:r>
        <w:rPr>
          <w:rFonts w:ascii="Public Sans" w:eastAsia="Times New Roman" w:hAnsi="Public Sans" w:cs="Arial"/>
          <w:color w:val="000000"/>
          <w:sz w:val="22"/>
          <w:u w:color="000000"/>
          <w:lang w:eastAsia="en-AU"/>
        </w:rPr>
        <w:t>people</w:t>
      </w:r>
      <w:r w:rsidRPr="00CC314B">
        <w:rPr>
          <w:rFonts w:ascii="Public Sans" w:eastAsia="Times New Roman" w:hAnsi="Public Sans" w:cs="Arial"/>
          <w:color w:val="000000"/>
          <w:sz w:val="22"/>
          <w:u w:color="000000"/>
          <w:lang w:eastAsia="en-AU"/>
        </w:rPr>
        <w:t xml:space="preserve"> from abuse, neglect and exploitation, and protecting and promoting their rights. Our role include</w:t>
      </w:r>
      <w:r>
        <w:rPr>
          <w:rFonts w:ascii="Public Sans" w:eastAsia="Times New Roman" w:hAnsi="Public Sans" w:cs="Arial"/>
          <w:color w:val="000000"/>
          <w:sz w:val="22"/>
          <w:u w:color="000000"/>
          <w:lang w:eastAsia="en-AU"/>
        </w:rPr>
        <w:t>s</w:t>
      </w:r>
      <w:r w:rsidRPr="00CC314B">
        <w:rPr>
          <w:rFonts w:ascii="Public Sans" w:eastAsia="Times New Roman" w:hAnsi="Public Sans" w:cs="Arial"/>
          <w:color w:val="000000"/>
          <w:sz w:val="22"/>
          <w:u w:color="000000"/>
          <w:lang w:eastAsia="en-AU"/>
        </w:rPr>
        <w:t>:</w:t>
      </w:r>
    </w:p>
    <w:p w:rsidR="00317AD9" w:rsidRPr="00CC314B" w:rsidRDefault="00317AD9" w:rsidP="00317AD9">
      <w:pPr>
        <w:widowControl w:val="0"/>
        <w:numPr>
          <w:ilvl w:val="0"/>
          <w:numId w:val="23"/>
        </w:numPr>
        <w:spacing w:before="120"/>
        <w:rPr>
          <w:rFonts w:ascii="Public Sans" w:eastAsia="Times New Roman" w:hAnsi="Public Sans" w:cs="Arial"/>
          <w:sz w:val="22"/>
        </w:rPr>
      </w:pPr>
      <w:r w:rsidRPr="00CC314B">
        <w:rPr>
          <w:rFonts w:ascii="Public Sans" w:eastAsia="Times New Roman" w:hAnsi="Public Sans" w:cs="Arial"/>
          <w:sz w:val="22"/>
        </w:rPr>
        <w:t xml:space="preserve">responding to allegations of abuse, neglect and exploitation of adults with disability (18 years and over) and older </w:t>
      </w:r>
      <w:r>
        <w:rPr>
          <w:rFonts w:ascii="Public Sans" w:eastAsia="Times New Roman" w:hAnsi="Public Sans" w:cs="Arial"/>
          <w:sz w:val="22"/>
        </w:rPr>
        <w:t>people</w:t>
      </w:r>
      <w:r w:rsidRPr="00CC314B">
        <w:rPr>
          <w:rFonts w:ascii="Public Sans" w:eastAsia="Times New Roman" w:hAnsi="Public Sans" w:cs="Arial"/>
          <w:sz w:val="22"/>
        </w:rPr>
        <w:t xml:space="preserve"> (65 years and over or, if Aboriginal and/or Torres Strait Islander, 50 years and over), including by providing advice, making referrals and conducting investigations</w:t>
      </w:r>
    </w:p>
    <w:p w:rsidR="00317AD9" w:rsidRPr="00CC314B" w:rsidRDefault="00317AD9" w:rsidP="00317AD9">
      <w:pPr>
        <w:widowControl w:val="0"/>
        <w:numPr>
          <w:ilvl w:val="0"/>
          <w:numId w:val="23"/>
        </w:numPr>
        <w:spacing w:before="120"/>
        <w:rPr>
          <w:rFonts w:ascii="Public Sans" w:eastAsia="Times New Roman" w:hAnsi="Public Sans" w:cs="Arial"/>
          <w:sz w:val="22"/>
        </w:rPr>
      </w:pPr>
      <w:r w:rsidRPr="00CC314B">
        <w:rPr>
          <w:rFonts w:ascii="Public Sans" w:eastAsia="Times New Roman" w:hAnsi="Public Sans" w:cs="Arial"/>
          <w:sz w:val="22"/>
        </w:rPr>
        <w:t>following an investigation, taking further action that is necessary to protect the adult from abuse, neglect and exploitation</w:t>
      </w:r>
    </w:p>
    <w:p w:rsidR="00317AD9" w:rsidRPr="00CC314B" w:rsidRDefault="00317AD9" w:rsidP="00317AD9">
      <w:pPr>
        <w:widowControl w:val="0"/>
        <w:numPr>
          <w:ilvl w:val="0"/>
          <w:numId w:val="23"/>
        </w:numPr>
        <w:spacing w:before="120"/>
        <w:rPr>
          <w:rFonts w:ascii="Public Sans" w:eastAsia="Times New Roman" w:hAnsi="Public Sans" w:cs="Arial"/>
          <w:sz w:val="22"/>
        </w:rPr>
      </w:pPr>
      <w:r w:rsidRPr="00CC314B">
        <w:rPr>
          <w:rFonts w:ascii="Public Sans" w:eastAsia="Times New Roman" w:hAnsi="Public Sans" w:cs="Arial"/>
          <w:sz w:val="22"/>
        </w:rPr>
        <w:t>raising awareness and educating the public about matters relating to the abuse, neglect and exploitation of adults with disability and older adults</w:t>
      </w:r>
    </w:p>
    <w:p w:rsidR="00317AD9" w:rsidRPr="00CC314B" w:rsidRDefault="00317AD9" w:rsidP="00317AD9">
      <w:pPr>
        <w:widowControl w:val="0"/>
        <w:numPr>
          <w:ilvl w:val="0"/>
          <w:numId w:val="23"/>
        </w:numPr>
        <w:spacing w:before="120"/>
        <w:rPr>
          <w:rFonts w:ascii="Public Sans" w:eastAsia="Times New Roman" w:hAnsi="Public Sans" w:cs="Arial"/>
          <w:sz w:val="22"/>
        </w:rPr>
      </w:pPr>
      <w:r w:rsidRPr="00CC314B">
        <w:rPr>
          <w:rFonts w:ascii="Public Sans" w:eastAsia="Times New Roman" w:hAnsi="Public Sans" w:cs="Arial"/>
          <w:sz w:val="22"/>
        </w:rPr>
        <w:t xml:space="preserve">inquiring into and reporting on systemic issues relating to the protection and promotion of the rights, or the abuse, neglect and exploitation, of adults with disability and older </w:t>
      </w:r>
      <w:r>
        <w:rPr>
          <w:rFonts w:ascii="Public Sans" w:eastAsia="Times New Roman" w:hAnsi="Public Sans" w:cs="Arial"/>
          <w:sz w:val="22"/>
        </w:rPr>
        <w:t>people</w:t>
      </w:r>
    </w:p>
    <w:p w:rsidR="00317AD9" w:rsidRPr="00CC314B" w:rsidRDefault="00317AD9" w:rsidP="00317AD9">
      <w:pPr>
        <w:widowControl w:val="0"/>
        <w:numPr>
          <w:ilvl w:val="0"/>
          <w:numId w:val="23"/>
        </w:numPr>
        <w:spacing w:before="120"/>
        <w:rPr>
          <w:rFonts w:ascii="Public Sans" w:eastAsia="Times New Roman" w:hAnsi="Public Sans" w:cs="Arial"/>
          <w:sz w:val="22"/>
        </w:rPr>
      </w:pPr>
      <w:r w:rsidRPr="00CC314B">
        <w:rPr>
          <w:rFonts w:ascii="Public Sans" w:eastAsia="Times New Roman" w:hAnsi="Public Sans" w:cs="Arial"/>
          <w:sz w:val="22"/>
        </w:rPr>
        <w:t xml:space="preserve">overseeing and coordinating the Official Community Visitor (OCV) scheme </w:t>
      </w:r>
    </w:p>
    <w:p w:rsidR="00317AD9" w:rsidRPr="00CC314B" w:rsidRDefault="00317AD9" w:rsidP="00317AD9">
      <w:pPr>
        <w:widowControl w:val="0"/>
        <w:numPr>
          <w:ilvl w:val="0"/>
          <w:numId w:val="23"/>
        </w:numPr>
        <w:spacing w:before="120"/>
        <w:rPr>
          <w:rFonts w:ascii="Public Sans" w:eastAsia="Times New Roman" w:hAnsi="Public Sans" w:cs="Arial"/>
          <w:sz w:val="22"/>
        </w:rPr>
      </w:pPr>
      <w:r>
        <w:rPr>
          <w:rFonts w:ascii="Public Sans" w:eastAsia="Times New Roman" w:hAnsi="Public Sans" w:cs="Arial"/>
          <w:sz w:val="22"/>
        </w:rPr>
        <w:t>m</w:t>
      </w:r>
      <w:r w:rsidRPr="00CC314B">
        <w:rPr>
          <w:rFonts w:ascii="Public Sans" w:eastAsia="Times New Roman" w:hAnsi="Public Sans" w:cs="Arial"/>
          <w:sz w:val="22"/>
        </w:rPr>
        <w:t xml:space="preserve">eeting other obligations as outlined in the </w:t>
      </w:r>
      <w:r w:rsidRPr="00CC314B">
        <w:rPr>
          <w:rFonts w:ascii="Public Sans" w:eastAsia="Times New Roman" w:hAnsi="Public Sans" w:cs="Arial"/>
          <w:i/>
          <w:iCs/>
          <w:sz w:val="22"/>
        </w:rPr>
        <w:t xml:space="preserve">Ageing and Disability Commissioner Act 2019 </w:t>
      </w:r>
      <w:r w:rsidRPr="00CC314B">
        <w:rPr>
          <w:rFonts w:ascii="Public Sans" w:eastAsia="Times New Roman" w:hAnsi="Public Sans" w:cs="Arial"/>
          <w:sz w:val="22"/>
        </w:rPr>
        <w:t xml:space="preserve">(the ADC Act). </w:t>
      </w:r>
    </w:p>
    <w:p w:rsidR="00317AD9" w:rsidRPr="00CC314B" w:rsidRDefault="00317AD9" w:rsidP="00317AD9">
      <w:pPr>
        <w:widowControl w:val="0"/>
        <w:rPr>
          <w:rFonts w:ascii="Public Sans" w:eastAsia="Times New Roman" w:hAnsi="Public Sans" w:cs="Arial"/>
          <w:color w:val="000000"/>
          <w:sz w:val="22"/>
          <w:u w:color="000000"/>
          <w:lang w:eastAsia="en-AU"/>
        </w:rPr>
      </w:pPr>
    </w:p>
    <w:p w:rsidR="00317AD9" w:rsidRDefault="00317AD9" w:rsidP="00317AD9">
      <w:pPr>
        <w:widowControl w:val="0"/>
        <w:rPr>
          <w:rFonts w:ascii="Public Sans" w:eastAsia="Times New Roman" w:hAnsi="Public Sans" w:cs="Arial"/>
          <w:color w:val="000000"/>
          <w:sz w:val="22"/>
          <w:u w:color="000000"/>
          <w:lang w:eastAsia="en-AU"/>
        </w:rPr>
      </w:pPr>
      <w:r w:rsidRPr="00681AC5">
        <w:rPr>
          <w:rFonts w:ascii="Public Sans" w:eastAsia="Times New Roman" w:hAnsi="Public Sans" w:cs="Arial"/>
          <w:color w:val="000000"/>
          <w:sz w:val="22"/>
          <w:u w:color="000000"/>
          <w:lang w:eastAsia="en-AU"/>
        </w:rPr>
        <w:t>The majority of the reports</w:t>
      </w:r>
      <w:r w:rsidRPr="004E7002">
        <w:rPr>
          <w:rFonts w:ascii="Public Sans" w:eastAsia="Times New Roman" w:hAnsi="Public Sans" w:cs="Arial"/>
          <w:color w:val="000000"/>
          <w:sz w:val="22"/>
          <w:u w:color="000000"/>
          <w:lang w:eastAsia="en-AU"/>
        </w:rPr>
        <w:t xml:space="preserve"> handled by the ADC about abuse, neglect and exploitation of older people and adults with disability focus on allegations about family members, spouses/partners, informal carers, and members of the community. Given the roles and functions of the ADC, our submission is focused on</w:t>
      </w:r>
      <w:r>
        <w:t xml:space="preserve"> </w:t>
      </w:r>
      <w:r>
        <w:rPr>
          <w:rFonts w:ascii="Public Sans" w:eastAsia="Times New Roman" w:hAnsi="Public Sans" w:cs="Arial"/>
          <w:color w:val="000000"/>
          <w:sz w:val="22"/>
          <w:u w:color="000000"/>
          <w:lang w:eastAsia="en-AU"/>
        </w:rPr>
        <w:t xml:space="preserve">issues identified through our handling of reports that contribute to an older person’s risk of homelessness. </w:t>
      </w:r>
    </w:p>
    <w:p w:rsidR="00317AD9" w:rsidRDefault="00317AD9" w:rsidP="00317AD9">
      <w:pPr>
        <w:widowControl w:val="0"/>
        <w:rPr>
          <w:rFonts w:ascii="Public Sans" w:eastAsia="Times New Roman" w:hAnsi="Public Sans" w:cs="Arial"/>
          <w:color w:val="000000"/>
          <w:sz w:val="22"/>
          <w:u w:color="000000"/>
          <w:lang w:eastAsia="en-AU"/>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In the last financial year, the ADC received 3,566 reports about older people and adults with disability subject to, or at risk of, abuse, neglect and exploitation – over three-quarters (78%) of these reports related to older people.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sidRPr="00681AC5">
        <w:rPr>
          <w:rFonts w:ascii="Public Sans" w:hAnsi="Public Sans"/>
          <w:b/>
          <w:sz w:val="22"/>
        </w:rPr>
        <w:t xml:space="preserve">Attachment 1 </w:t>
      </w:r>
      <w:r>
        <w:rPr>
          <w:rFonts w:ascii="Public Sans" w:hAnsi="Public Sans"/>
          <w:sz w:val="22"/>
        </w:rPr>
        <w:t>provides an overview of data relating to reports to the ADC about older people in 2020/21. Key points to note are that:</w:t>
      </w:r>
    </w:p>
    <w:p w:rsidR="00317AD9" w:rsidRDefault="00317AD9" w:rsidP="00317AD9">
      <w:pPr>
        <w:pStyle w:val="BodyText"/>
        <w:numPr>
          <w:ilvl w:val="0"/>
          <w:numId w:val="39"/>
        </w:numPr>
        <w:spacing w:after="0" w:line="240" w:lineRule="auto"/>
        <w:ind w:left="714" w:hanging="357"/>
        <w:rPr>
          <w:rFonts w:ascii="Public Sans" w:hAnsi="Public Sans"/>
          <w:sz w:val="22"/>
        </w:rPr>
      </w:pPr>
      <w:r>
        <w:rPr>
          <w:rFonts w:ascii="Public Sans" w:hAnsi="Public Sans"/>
          <w:sz w:val="22"/>
        </w:rPr>
        <w:t>Most (66%) of the reports about older people relate to women.</w:t>
      </w:r>
    </w:p>
    <w:p w:rsidR="00317AD9" w:rsidRDefault="00317AD9" w:rsidP="00317AD9">
      <w:pPr>
        <w:pStyle w:val="BodyText"/>
        <w:numPr>
          <w:ilvl w:val="0"/>
          <w:numId w:val="39"/>
        </w:numPr>
        <w:spacing w:after="0" w:line="240" w:lineRule="auto"/>
        <w:ind w:left="714" w:hanging="357"/>
        <w:rPr>
          <w:rFonts w:ascii="Public Sans" w:hAnsi="Public Sans"/>
          <w:sz w:val="22"/>
        </w:rPr>
      </w:pPr>
      <w:r>
        <w:rPr>
          <w:rFonts w:ascii="Public Sans" w:hAnsi="Public Sans"/>
          <w:sz w:val="22"/>
        </w:rPr>
        <w:t xml:space="preserve">The largest proportion of the reports about older people relate to people aged 80-89 years (32%). </w:t>
      </w:r>
    </w:p>
    <w:p w:rsidR="00317AD9" w:rsidRDefault="00317AD9" w:rsidP="00317AD9">
      <w:pPr>
        <w:pStyle w:val="BodyText"/>
        <w:numPr>
          <w:ilvl w:val="0"/>
          <w:numId w:val="39"/>
        </w:numPr>
        <w:spacing w:after="0" w:line="240" w:lineRule="auto"/>
        <w:ind w:left="714" w:hanging="357"/>
        <w:rPr>
          <w:rFonts w:ascii="Public Sans" w:hAnsi="Public Sans"/>
          <w:sz w:val="22"/>
        </w:rPr>
      </w:pPr>
      <w:r>
        <w:rPr>
          <w:rFonts w:ascii="Public Sans" w:hAnsi="Public Sans"/>
          <w:sz w:val="22"/>
        </w:rPr>
        <w:t xml:space="preserve">Over half (55%) of </w:t>
      </w:r>
      <w:r w:rsidR="00C05B9D">
        <w:rPr>
          <w:rFonts w:ascii="Public Sans" w:hAnsi="Public Sans"/>
          <w:sz w:val="22"/>
        </w:rPr>
        <w:t xml:space="preserve">the </w:t>
      </w:r>
      <w:r>
        <w:rPr>
          <w:rFonts w:ascii="Public Sans" w:hAnsi="Public Sans"/>
          <w:sz w:val="22"/>
        </w:rPr>
        <w:t>reports about older people involve allegations of abuse, neglect and exploitation by their adult children.</w:t>
      </w:r>
    </w:p>
    <w:p w:rsidR="00317AD9" w:rsidRDefault="00317AD9" w:rsidP="00317AD9">
      <w:pPr>
        <w:pStyle w:val="BodyText"/>
        <w:numPr>
          <w:ilvl w:val="0"/>
          <w:numId w:val="39"/>
        </w:numPr>
        <w:spacing w:after="0" w:line="240" w:lineRule="auto"/>
        <w:ind w:left="714" w:hanging="357"/>
        <w:rPr>
          <w:rFonts w:ascii="Public Sans" w:hAnsi="Public Sans"/>
          <w:sz w:val="22"/>
        </w:rPr>
      </w:pPr>
      <w:r>
        <w:rPr>
          <w:rFonts w:ascii="Public Sans" w:hAnsi="Public Sans"/>
          <w:sz w:val="22"/>
        </w:rPr>
        <w:t xml:space="preserve">The most commonly reported types of alleged abuse of older people are psychological and financial abuse. </w:t>
      </w:r>
    </w:p>
    <w:p w:rsidR="00317AD9" w:rsidRDefault="00317AD9" w:rsidP="00317AD9">
      <w:pPr>
        <w:widowControl w:val="0"/>
        <w:rPr>
          <w:rFonts w:ascii="Public Sans" w:eastAsia="Times New Roman" w:hAnsi="Public Sans" w:cs="Arial"/>
          <w:color w:val="000000"/>
          <w:sz w:val="22"/>
          <w:u w:color="000000"/>
          <w:lang w:eastAsia="en-AU"/>
        </w:rPr>
      </w:pPr>
    </w:p>
    <w:p w:rsidR="00317AD9" w:rsidRDefault="00317AD9" w:rsidP="00317AD9">
      <w:pPr>
        <w:widowControl w:val="0"/>
        <w:rPr>
          <w:rFonts w:ascii="Public Sans" w:eastAsia="Times New Roman" w:hAnsi="Public Sans" w:cs="Arial"/>
          <w:color w:val="000000"/>
          <w:sz w:val="22"/>
          <w:u w:color="000000"/>
          <w:lang w:eastAsia="en-AU"/>
        </w:rPr>
      </w:pPr>
      <w:r>
        <w:rPr>
          <w:rFonts w:ascii="Public Sans" w:eastAsia="Times New Roman" w:hAnsi="Public Sans" w:cs="Arial"/>
          <w:color w:val="000000"/>
          <w:sz w:val="22"/>
          <w:u w:color="000000"/>
          <w:lang w:eastAsia="en-AU"/>
        </w:rPr>
        <w:t xml:space="preserve">Our submission draws primarily on matters affecting older women, given their prevalence in reports received by the ADC. </w:t>
      </w:r>
    </w:p>
    <w:p w:rsidR="00317AD9" w:rsidRDefault="00317AD9" w:rsidP="00317AD9">
      <w:pPr>
        <w:rPr>
          <w:rFonts w:ascii="Public Sans" w:eastAsia="Times New Roman" w:hAnsi="Public Sans" w:cs="Arial"/>
          <w:color w:val="000000"/>
          <w:sz w:val="22"/>
          <w:u w:color="000000"/>
          <w:lang w:eastAsia="en-AU"/>
        </w:rPr>
      </w:pPr>
    </w:p>
    <w:p w:rsidR="00317AD9" w:rsidRPr="002633D9" w:rsidRDefault="00317AD9" w:rsidP="00317AD9">
      <w:pPr>
        <w:pStyle w:val="BodyText"/>
        <w:numPr>
          <w:ilvl w:val="0"/>
          <w:numId w:val="30"/>
        </w:numPr>
        <w:spacing w:before="0" w:after="0" w:line="240" w:lineRule="auto"/>
        <w:ind w:left="426" w:hanging="426"/>
        <w:rPr>
          <w:rFonts w:ascii="Public Sans" w:hAnsi="Public Sans"/>
          <w:b/>
          <w:color w:val="122872" w:themeColor="accent3"/>
          <w:sz w:val="32"/>
          <w:szCs w:val="32"/>
        </w:rPr>
      </w:pPr>
      <w:r w:rsidRPr="002633D9">
        <w:rPr>
          <w:rFonts w:ascii="Public Sans" w:hAnsi="Public Sans"/>
          <w:b/>
          <w:color w:val="122872" w:themeColor="accent3"/>
          <w:sz w:val="32"/>
          <w:szCs w:val="32"/>
        </w:rPr>
        <w:t>Key points</w:t>
      </w:r>
    </w:p>
    <w:p w:rsidR="00317AD9" w:rsidRPr="004E7002" w:rsidRDefault="00317AD9" w:rsidP="00317AD9">
      <w:pPr>
        <w:pStyle w:val="ListParagraph0"/>
        <w:numPr>
          <w:ilvl w:val="0"/>
          <w:numId w:val="28"/>
        </w:numPr>
        <w:spacing w:after="0" w:line="240" w:lineRule="auto"/>
        <w:ind w:left="714" w:hanging="357"/>
        <w:rPr>
          <w:rFonts w:ascii="Public Sans" w:hAnsi="Public Sans"/>
          <w:sz w:val="22"/>
        </w:rPr>
      </w:pPr>
      <w:r w:rsidRPr="008E68B2">
        <w:rPr>
          <w:rFonts w:ascii="Public Sans" w:hAnsi="Public Sans"/>
          <w:sz w:val="22"/>
        </w:rPr>
        <w:t xml:space="preserve">There </w:t>
      </w:r>
      <w:r>
        <w:rPr>
          <w:rFonts w:ascii="Public Sans" w:hAnsi="Public Sans"/>
          <w:sz w:val="22"/>
        </w:rPr>
        <w:t>is an</w:t>
      </w:r>
      <w:r w:rsidRPr="008E68B2">
        <w:rPr>
          <w:rFonts w:ascii="Public Sans" w:hAnsi="Public Sans"/>
          <w:sz w:val="22"/>
        </w:rPr>
        <w:t xml:space="preserve"> increased risk of homelessness </w:t>
      </w:r>
      <w:r>
        <w:rPr>
          <w:rFonts w:ascii="Public Sans" w:hAnsi="Public Sans"/>
          <w:sz w:val="22"/>
        </w:rPr>
        <w:t>among</w:t>
      </w:r>
      <w:r w:rsidRPr="008E68B2">
        <w:rPr>
          <w:rFonts w:ascii="Public Sans" w:hAnsi="Public Sans"/>
          <w:sz w:val="22"/>
        </w:rPr>
        <w:t xml:space="preserve"> older people, particular</w:t>
      </w:r>
      <w:r>
        <w:rPr>
          <w:rFonts w:ascii="Public Sans" w:hAnsi="Public Sans"/>
          <w:sz w:val="22"/>
        </w:rPr>
        <w:t>ly</w:t>
      </w:r>
      <w:r w:rsidRPr="008E68B2">
        <w:rPr>
          <w:rFonts w:ascii="Public Sans" w:hAnsi="Public Sans"/>
          <w:sz w:val="22"/>
        </w:rPr>
        <w:t xml:space="preserve"> older women</w:t>
      </w:r>
      <w:r>
        <w:rPr>
          <w:rFonts w:ascii="Public Sans" w:hAnsi="Public Sans"/>
          <w:sz w:val="22"/>
        </w:rPr>
        <w:t>, who are subject to, or are at risk of, abuse</w:t>
      </w:r>
      <w:r w:rsidRPr="008E68B2">
        <w:rPr>
          <w:rFonts w:ascii="Public Sans" w:hAnsi="Public Sans"/>
          <w:sz w:val="22"/>
        </w:rPr>
        <w:t xml:space="preserve">. </w:t>
      </w:r>
      <w:r w:rsidRPr="00D467A6">
        <w:rPr>
          <w:rFonts w:ascii="Public Sans" w:hAnsi="Public Sans"/>
          <w:sz w:val="22"/>
        </w:rPr>
        <w:t>Th</w:t>
      </w:r>
      <w:r w:rsidR="00EB2551">
        <w:rPr>
          <w:rFonts w:ascii="Public Sans" w:hAnsi="Public Sans"/>
          <w:sz w:val="22"/>
        </w:rPr>
        <w:t>e</w:t>
      </w:r>
      <w:r w:rsidRPr="00D467A6">
        <w:rPr>
          <w:rFonts w:ascii="Public Sans" w:hAnsi="Public Sans"/>
          <w:sz w:val="22"/>
        </w:rPr>
        <w:t xml:space="preserve"> risk </w:t>
      </w:r>
      <w:r w:rsidR="00EB2551">
        <w:rPr>
          <w:rFonts w:ascii="Public Sans" w:hAnsi="Public Sans"/>
          <w:sz w:val="22"/>
        </w:rPr>
        <w:t xml:space="preserve">of homelessness </w:t>
      </w:r>
      <w:r w:rsidRPr="00D467A6">
        <w:rPr>
          <w:rFonts w:ascii="Public Sans" w:hAnsi="Public Sans"/>
          <w:sz w:val="22"/>
        </w:rPr>
        <w:t>can be exacerbated</w:t>
      </w:r>
      <w:r w:rsidRPr="008E68B2">
        <w:rPr>
          <w:rFonts w:ascii="Public Sans" w:hAnsi="Public Sans"/>
          <w:sz w:val="22"/>
        </w:rPr>
        <w:t xml:space="preserve"> </w:t>
      </w:r>
      <w:r>
        <w:rPr>
          <w:rFonts w:ascii="Public Sans" w:hAnsi="Public Sans"/>
          <w:sz w:val="22"/>
        </w:rPr>
        <w:t>when</w:t>
      </w:r>
      <w:r w:rsidRPr="008E68B2">
        <w:rPr>
          <w:rFonts w:ascii="Public Sans" w:hAnsi="Public Sans"/>
          <w:sz w:val="22"/>
        </w:rPr>
        <w:t xml:space="preserve"> there </w:t>
      </w:r>
      <w:r>
        <w:rPr>
          <w:rFonts w:ascii="Public Sans" w:hAnsi="Public Sans"/>
          <w:sz w:val="22"/>
        </w:rPr>
        <w:t>is, or has been,</w:t>
      </w:r>
      <w:r w:rsidRPr="008E68B2">
        <w:rPr>
          <w:rFonts w:ascii="Public Sans" w:hAnsi="Public Sans"/>
          <w:sz w:val="22"/>
        </w:rPr>
        <w:t xml:space="preserve"> financial abuse</w:t>
      </w:r>
      <w:r w:rsidR="008B6122">
        <w:rPr>
          <w:rFonts w:ascii="Public Sans" w:hAnsi="Public Sans"/>
          <w:sz w:val="22"/>
        </w:rPr>
        <w:t xml:space="preserve"> – including </w:t>
      </w:r>
      <w:r w:rsidR="005C32B4">
        <w:rPr>
          <w:rFonts w:ascii="Public Sans" w:hAnsi="Public Sans"/>
          <w:sz w:val="22"/>
        </w:rPr>
        <w:t>as a result of</w:t>
      </w:r>
      <w:r w:rsidR="008B6122">
        <w:rPr>
          <w:rFonts w:ascii="Public Sans" w:hAnsi="Public Sans"/>
          <w:sz w:val="22"/>
        </w:rPr>
        <w:t xml:space="preserve"> misuse of their Power of Attorney or Enduring Power of Attorney</w:t>
      </w:r>
      <w:r w:rsidRPr="008E68B2">
        <w:rPr>
          <w:rFonts w:ascii="Public Sans" w:hAnsi="Public Sans"/>
          <w:sz w:val="22"/>
        </w:rPr>
        <w:t>.</w:t>
      </w:r>
    </w:p>
    <w:p w:rsidR="00317AD9" w:rsidRDefault="00317AD9" w:rsidP="00317AD9">
      <w:pPr>
        <w:pStyle w:val="ListParagraph0"/>
        <w:numPr>
          <w:ilvl w:val="0"/>
          <w:numId w:val="28"/>
        </w:numPr>
        <w:spacing w:after="0" w:line="240" w:lineRule="auto"/>
        <w:ind w:left="714" w:hanging="357"/>
        <w:rPr>
          <w:rFonts w:ascii="Public Sans" w:hAnsi="Public Sans"/>
          <w:sz w:val="22"/>
        </w:rPr>
      </w:pPr>
      <w:r w:rsidRPr="008E68B2">
        <w:rPr>
          <w:rFonts w:ascii="Public Sans" w:hAnsi="Public Sans"/>
          <w:sz w:val="22"/>
        </w:rPr>
        <w:lastRenderedPageBreak/>
        <w:t>Older people can be at greater risk of financial vulnerab</w:t>
      </w:r>
      <w:r>
        <w:rPr>
          <w:rFonts w:ascii="Public Sans" w:hAnsi="Public Sans"/>
          <w:sz w:val="22"/>
        </w:rPr>
        <w:t xml:space="preserve">ility and homelessness as a result of </w:t>
      </w:r>
      <w:r w:rsidRPr="008E68B2">
        <w:rPr>
          <w:rFonts w:ascii="Public Sans" w:hAnsi="Public Sans"/>
          <w:sz w:val="22"/>
        </w:rPr>
        <w:t>enter</w:t>
      </w:r>
      <w:r>
        <w:rPr>
          <w:rFonts w:ascii="Public Sans" w:hAnsi="Public Sans"/>
          <w:sz w:val="22"/>
        </w:rPr>
        <w:t>ing</w:t>
      </w:r>
      <w:r w:rsidRPr="008E68B2">
        <w:rPr>
          <w:rFonts w:ascii="Public Sans" w:hAnsi="Public Sans"/>
          <w:sz w:val="22"/>
        </w:rPr>
        <w:t xml:space="preserve"> into </w:t>
      </w:r>
      <w:r>
        <w:rPr>
          <w:rFonts w:ascii="Public Sans" w:hAnsi="Public Sans"/>
          <w:sz w:val="22"/>
        </w:rPr>
        <w:t xml:space="preserve">accommodation and financial </w:t>
      </w:r>
      <w:r w:rsidRPr="00E23C53">
        <w:rPr>
          <w:rFonts w:ascii="Public Sans" w:hAnsi="Public Sans"/>
          <w:sz w:val="22"/>
        </w:rPr>
        <w:t xml:space="preserve">arrangements </w:t>
      </w:r>
      <w:r w:rsidR="006F2CEC">
        <w:rPr>
          <w:rFonts w:ascii="Public Sans" w:hAnsi="Public Sans"/>
          <w:sz w:val="22"/>
        </w:rPr>
        <w:t xml:space="preserve">with family members </w:t>
      </w:r>
      <w:r w:rsidRPr="00E23C53">
        <w:rPr>
          <w:rFonts w:ascii="Public Sans" w:hAnsi="Public Sans"/>
          <w:sz w:val="22"/>
        </w:rPr>
        <w:t>that do not serve their interests or afford them adequate protection, and that</w:t>
      </w:r>
      <w:r>
        <w:rPr>
          <w:rFonts w:ascii="Public Sans" w:hAnsi="Public Sans"/>
          <w:sz w:val="22"/>
        </w:rPr>
        <w:t xml:space="preserve"> have not been informed by </w:t>
      </w:r>
      <w:r w:rsidR="006F2CEC">
        <w:rPr>
          <w:rFonts w:ascii="Public Sans" w:hAnsi="Public Sans"/>
          <w:sz w:val="22"/>
        </w:rPr>
        <w:t xml:space="preserve">clear </w:t>
      </w:r>
      <w:r>
        <w:rPr>
          <w:rFonts w:ascii="Public Sans" w:hAnsi="Public Sans"/>
          <w:sz w:val="22"/>
        </w:rPr>
        <w:t xml:space="preserve">information and </w:t>
      </w:r>
      <w:r w:rsidR="006F2CEC">
        <w:rPr>
          <w:rFonts w:ascii="Public Sans" w:hAnsi="Public Sans"/>
          <w:sz w:val="22"/>
        </w:rPr>
        <w:t xml:space="preserve">independent </w:t>
      </w:r>
      <w:r>
        <w:rPr>
          <w:rFonts w:ascii="Public Sans" w:hAnsi="Public Sans"/>
          <w:sz w:val="22"/>
        </w:rPr>
        <w:t xml:space="preserve">advice. </w:t>
      </w:r>
      <w:r w:rsidR="0016404F">
        <w:rPr>
          <w:rFonts w:ascii="Public Sans" w:hAnsi="Public Sans"/>
          <w:sz w:val="22"/>
        </w:rPr>
        <w:t xml:space="preserve">This includes </w:t>
      </w:r>
      <w:r w:rsidR="008B6122">
        <w:rPr>
          <w:rFonts w:ascii="Public Sans" w:hAnsi="Public Sans"/>
          <w:sz w:val="22"/>
        </w:rPr>
        <w:t xml:space="preserve">older people guaranteeing loans for family members, and granny flat arrangements. </w:t>
      </w:r>
    </w:p>
    <w:p w:rsidR="00317AD9" w:rsidRDefault="002B2CE2" w:rsidP="00317AD9">
      <w:pPr>
        <w:pStyle w:val="ListParagraph0"/>
        <w:numPr>
          <w:ilvl w:val="0"/>
          <w:numId w:val="28"/>
        </w:numPr>
        <w:spacing w:after="0" w:line="240" w:lineRule="auto"/>
        <w:ind w:left="714" w:hanging="357"/>
        <w:rPr>
          <w:rFonts w:ascii="Public Sans" w:hAnsi="Public Sans"/>
          <w:sz w:val="22"/>
        </w:rPr>
      </w:pPr>
      <w:r>
        <w:rPr>
          <w:rFonts w:ascii="Public Sans" w:hAnsi="Public Sans"/>
          <w:sz w:val="22"/>
        </w:rPr>
        <w:t xml:space="preserve">It can be difficult for older people who are subject to, or at risk of, abuse to access </w:t>
      </w:r>
      <w:r w:rsidR="001F38DD">
        <w:rPr>
          <w:rFonts w:ascii="Public Sans" w:hAnsi="Public Sans"/>
          <w:sz w:val="22"/>
        </w:rPr>
        <w:t xml:space="preserve">alternative accommodation </w:t>
      </w:r>
      <w:r w:rsidR="002448BF">
        <w:rPr>
          <w:rFonts w:ascii="Public Sans" w:hAnsi="Public Sans"/>
          <w:sz w:val="22"/>
        </w:rPr>
        <w:t xml:space="preserve">options </w:t>
      </w:r>
      <w:r w:rsidR="001F38DD">
        <w:rPr>
          <w:rFonts w:ascii="Public Sans" w:hAnsi="Public Sans"/>
          <w:sz w:val="22"/>
        </w:rPr>
        <w:t xml:space="preserve">due to </w:t>
      </w:r>
      <w:r w:rsidR="00A06E80">
        <w:rPr>
          <w:rFonts w:ascii="Public Sans" w:hAnsi="Public Sans"/>
          <w:sz w:val="22"/>
        </w:rPr>
        <w:t xml:space="preserve">social housing </w:t>
      </w:r>
      <w:r>
        <w:rPr>
          <w:rFonts w:ascii="Public Sans" w:hAnsi="Public Sans"/>
          <w:sz w:val="22"/>
        </w:rPr>
        <w:t xml:space="preserve">eligibility </w:t>
      </w:r>
      <w:r w:rsidR="001F38DD">
        <w:rPr>
          <w:rFonts w:ascii="Public Sans" w:hAnsi="Public Sans"/>
          <w:sz w:val="22"/>
        </w:rPr>
        <w:t xml:space="preserve">barriers; </w:t>
      </w:r>
      <w:r>
        <w:rPr>
          <w:rFonts w:ascii="Public Sans" w:hAnsi="Public Sans"/>
          <w:sz w:val="22"/>
        </w:rPr>
        <w:t>difficult</w:t>
      </w:r>
      <w:r w:rsidR="001F38DD">
        <w:rPr>
          <w:rFonts w:ascii="Public Sans" w:hAnsi="Public Sans"/>
          <w:sz w:val="22"/>
        </w:rPr>
        <w:t>ies</w:t>
      </w:r>
      <w:r>
        <w:rPr>
          <w:rFonts w:ascii="Public Sans" w:hAnsi="Public Sans"/>
          <w:sz w:val="22"/>
        </w:rPr>
        <w:t xml:space="preserve"> navigating housing systems</w:t>
      </w:r>
      <w:r w:rsidR="001F38DD">
        <w:rPr>
          <w:rFonts w:ascii="Public Sans" w:hAnsi="Public Sans"/>
          <w:sz w:val="22"/>
        </w:rPr>
        <w:t>; and inaccessible emergency or crisis accommodation – particularly for</w:t>
      </w:r>
      <w:r w:rsidR="002448BF">
        <w:rPr>
          <w:rFonts w:ascii="Public Sans" w:hAnsi="Public Sans"/>
          <w:sz w:val="22"/>
        </w:rPr>
        <w:t xml:space="preserve"> older people with disability</w:t>
      </w:r>
      <w:r>
        <w:rPr>
          <w:rFonts w:ascii="Public Sans" w:hAnsi="Public Sans"/>
          <w:sz w:val="22"/>
        </w:rPr>
        <w:t xml:space="preserve">. </w:t>
      </w:r>
      <w:r w:rsidR="00317AD9" w:rsidRPr="008E68B2">
        <w:rPr>
          <w:rFonts w:ascii="Public Sans" w:hAnsi="Public Sans"/>
          <w:sz w:val="22"/>
        </w:rPr>
        <w:t xml:space="preserve"> </w:t>
      </w:r>
    </w:p>
    <w:p w:rsidR="00D64C66" w:rsidRPr="004E7002" w:rsidRDefault="00D64C66" w:rsidP="00317AD9">
      <w:pPr>
        <w:pStyle w:val="ListParagraph0"/>
        <w:numPr>
          <w:ilvl w:val="0"/>
          <w:numId w:val="28"/>
        </w:numPr>
        <w:spacing w:after="0" w:line="240" w:lineRule="auto"/>
        <w:ind w:left="714" w:hanging="357"/>
        <w:rPr>
          <w:rFonts w:ascii="Public Sans" w:hAnsi="Public Sans"/>
          <w:sz w:val="22"/>
        </w:rPr>
      </w:pPr>
      <w:r>
        <w:rPr>
          <w:rFonts w:ascii="Public Sans" w:hAnsi="Public Sans"/>
          <w:sz w:val="22"/>
        </w:rPr>
        <w:t xml:space="preserve">There are factors that can increase the risk of older people being evicted from social housing, including </w:t>
      </w:r>
      <w:r w:rsidR="00355F98">
        <w:rPr>
          <w:rFonts w:ascii="Public Sans" w:hAnsi="Public Sans"/>
          <w:sz w:val="22"/>
        </w:rPr>
        <w:t xml:space="preserve">the </w:t>
      </w:r>
      <w:r>
        <w:rPr>
          <w:rFonts w:ascii="Public Sans" w:hAnsi="Public Sans"/>
          <w:sz w:val="22"/>
        </w:rPr>
        <w:t>actions of their adult children</w:t>
      </w:r>
      <w:r w:rsidR="00355F98">
        <w:rPr>
          <w:rFonts w:ascii="Public Sans" w:hAnsi="Public Sans"/>
          <w:sz w:val="22"/>
        </w:rPr>
        <w:t xml:space="preserve"> that breach the tenancy agreement. </w:t>
      </w:r>
      <w:r>
        <w:rPr>
          <w:rFonts w:ascii="Public Sans" w:hAnsi="Public Sans"/>
          <w:sz w:val="22"/>
        </w:rPr>
        <w:t xml:space="preserve"> </w:t>
      </w:r>
    </w:p>
    <w:p w:rsidR="00317AD9" w:rsidRPr="008E68B2" w:rsidRDefault="00362EF4" w:rsidP="00317AD9">
      <w:pPr>
        <w:pStyle w:val="ListParagraph0"/>
        <w:numPr>
          <w:ilvl w:val="0"/>
          <w:numId w:val="28"/>
        </w:numPr>
        <w:spacing w:after="0" w:line="240" w:lineRule="auto"/>
        <w:ind w:left="714" w:hanging="357"/>
        <w:rPr>
          <w:rFonts w:ascii="Public Sans" w:hAnsi="Public Sans"/>
          <w:sz w:val="22"/>
        </w:rPr>
      </w:pPr>
      <w:r>
        <w:rPr>
          <w:rFonts w:ascii="Public Sans" w:hAnsi="Public Sans"/>
          <w:sz w:val="22"/>
        </w:rPr>
        <w:t xml:space="preserve">There is a range of prevention and early intervention options </w:t>
      </w:r>
      <w:r w:rsidR="002B7B30">
        <w:rPr>
          <w:rFonts w:ascii="Public Sans" w:hAnsi="Public Sans"/>
          <w:sz w:val="22"/>
        </w:rPr>
        <w:t>t</w:t>
      </w:r>
      <w:r w:rsidR="00985E01">
        <w:rPr>
          <w:rFonts w:ascii="Public Sans" w:hAnsi="Public Sans"/>
          <w:sz w:val="22"/>
        </w:rPr>
        <w:t>hat can assist t</w:t>
      </w:r>
      <w:r w:rsidR="002B7B30">
        <w:rPr>
          <w:rFonts w:ascii="Public Sans" w:hAnsi="Public Sans"/>
          <w:sz w:val="22"/>
        </w:rPr>
        <w:t>o reduce the risk of homelessness among older people who are subject to, or at risk of</w:t>
      </w:r>
      <w:r w:rsidR="00985E01">
        <w:rPr>
          <w:rFonts w:ascii="Public Sans" w:hAnsi="Public Sans"/>
          <w:sz w:val="22"/>
        </w:rPr>
        <w:t>,</w:t>
      </w:r>
      <w:r w:rsidR="002B7B30">
        <w:rPr>
          <w:rFonts w:ascii="Public Sans" w:hAnsi="Public Sans"/>
          <w:sz w:val="22"/>
        </w:rPr>
        <w:t xml:space="preserve"> abuse – including bolster</w:t>
      </w:r>
      <w:r w:rsidR="00985E01">
        <w:rPr>
          <w:rFonts w:ascii="Public Sans" w:hAnsi="Public Sans"/>
          <w:sz w:val="22"/>
        </w:rPr>
        <w:t>ing</w:t>
      </w:r>
      <w:r w:rsidR="002B7B30">
        <w:rPr>
          <w:rFonts w:ascii="Public Sans" w:hAnsi="Public Sans"/>
          <w:sz w:val="22"/>
        </w:rPr>
        <w:t xml:space="preserve"> </w:t>
      </w:r>
      <w:r w:rsidR="00CD5BF8">
        <w:rPr>
          <w:rFonts w:ascii="Public Sans" w:hAnsi="Public Sans"/>
          <w:sz w:val="22"/>
        </w:rPr>
        <w:t xml:space="preserve">family mediation and </w:t>
      </w:r>
      <w:r w:rsidR="002633D9">
        <w:rPr>
          <w:rFonts w:ascii="Public Sans" w:hAnsi="Public Sans"/>
          <w:sz w:val="22"/>
        </w:rPr>
        <w:t xml:space="preserve">relationship </w:t>
      </w:r>
      <w:r w:rsidR="00CD5BF8">
        <w:rPr>
          <w:rFonts w:ascii="Public Sans" w:hAnsi="Public Sans"/>
          <w:sz w:val="22"/>
        </w:rPr>
        <w:t>support</w:t>
      </w:r>
      <w:r w:rsidR="002633D9">
        <w:rPr>
          <w:rFonts w:ascii="Public Sans" w:hAnsi="Public Sans"/>
          <w:sz w:val="22"/>
        </w:rPr>
        <w:t xml:space="preserve"> services</w:t>
      </w:r>
      <w:r w:rsidR="00CD5BF8">
        <w:rPr>
          <w:rFonts w:ascii="Public Sans" w:hAnsi="Public Sans"/>
          <w:sz w:val="22"/>
        </w:rPr>
        <w:t xml:space="preserve">, and </w:t>
      </w:r>
      <w:r w:rsidR="002633D9">
        <w:rPr>
          <w:rFonts w:ascii="Public Sans" w:hAnsi="Public Sans"/>
          <w:sz w:val="22"/>
        </w:rPr>
        <w:t>enhanc</w:t>
      </w:r>
      <w:r w:rsidR="00985E01">
        <w:rPr>
          <w:rFonts w:ascii="Public Sans" w:hAnsi="Public Sans"/>
          <w:sz w:val="22"/>
        </w:rPr>
        <w:t>ing</w:t>
      </w:r>
      <w:r w:rsidR="002633D9">
        <w:rPr>
          <w:rFonts w:ascii="Public Sans" w:hAnsi="Public Sans"/>
          <w:sz w:val="22"/>
        </w:rPr>
        <w:t xml:space="preserve"> access to advocacy and case management services. </w:t>
      </w:r>
    </w:p>
    <w:p w:rsidR="00317AD9" w:rsidRDefault="00317AD9" w:rsidP="00317AD9">
      <w:pPr>
        <w:pStyle w:val="BodyText"/>
        <w:spacing w:before="0" w:after="0" w:line="240" w:lineRule="auto"/>
        <w:rPr>
          <w:rFonts w:ascii="Public Sans" w:hAnsi="Public Sans"/>
          <w:sz w:val="22"/>
        </w:rPr>
      </w:pPr>
    </w:p>
    <w:p w:rsidR="00317AD9" w:rsidRPr="001F3DB4" w:rsidRDefault="00317AD9" w:rsidP="00317AD9">
      <w:pPr>
        <w:pStyle w:val="BodyText"/>
        <w:numPr>
          <w:ilvl w:val="0"/>
          <w:numId w:val="30"/>
        </w:numPr>
        <w:spacing w:before="0" w:after="0" w:line="240" w:lineRule="auto"/>
        <w:ind w:left="426" w:hanging="426"/>
        <w:rPr>
          <w:rFonts w:ascii="Public Sans" w:hAnsi="Public Sans"/>
          <w:b/>
          <w:iCs/>
          <w:color w:val="002060"/>
          <w:sz w:val="44"/>
          <w:szCs w:val="28"/>
        </w:rPr>
      </w:pPr>
      <w:r w:rsidRPr="001F3DB4">
        <w:rPr>
          <w:rFonts w:ascii="Public Sans" w:hAnsi="Public Sans"/>
          <w:b/>
          <w:color w:val="002060"/>
          <w:sz w:val="32"/>
        </w:rPr>
        <w:t>Factors contributing to homelessness for older people</w:t>
      </w:r>
    </w:p>
    <w:p w:rsidR="00317AD9" w:rsidRPr="001F3DB4" w:rsidRDefault="00317AD9" w:rsidP="00317AD9">
      <w:pPr>
        <w:pStyle w:val="Heading2"/>
        <w:spacing w:before="0" w:after="0"/>
        <w:rPr>
          <w:rFonts w:ascii="Public Sans" w:hAnsi="Public Sans"/>
          <w:b/>
          <w:color w:val="002060"/>
        </w:rPr>
      </w:pPr>
    </w:p>
    <w:p w:rsidR="00317AD9" w:rsidRPr="001F3DB4" w:rsidRDefault="00317AD9" w:rsidP="00317AD9">
      <w:pPr>
        <w:pStyle w:val="Heading2"/>
        <w:spacing w:before="0" w:after="0"/>
        <w:rPr>
          <w:rFonts w:ascii="Public Sans" w:hAnsi="Public Sans"/>
          <w:b/>
          <w:color w:val="002060"/>
        </w:rPr>
      </w:pPr>
      <w:r w:rsidRPr="001F3DB4">
        <w:rPr>
          <w:rFonts w:ascii="Public Sans" w:hAnsi="Public Sans"/>
          <w:b/>
          <w:color w:val="002060"/>
        </w:rPr>
        <w:t>Abuse</w:t>
      </w:r>
    </w:p>
    <w:p w:rsidR="00317AD9" w:rsidRDefault="00317AD9" w:rsidP="00317AD9">
      <w:pPr>
        <w:pStyle w:val="BodyText"/>
        <w:spacing w:after="0" w:line="240" w:lineRule="auto"/>
        <w:rPr>
          <w:rFonts w:ascii="Public Sans" w:hAnsi="Public Sans"/>
          <w:sz w:val="22"/>
        </w:rPr>
      </w:pPr>
      <w:r>
        <w:rPr>
          <w:rFonts w:ascii="Public Sans" w:hAnsi="Public Sans"/>
          <w:sz w:val="22"/>
        </w:rPr>
        <w:t>Abuse of older people (also referred to as ‘elder abuse’) is a contributing factor to homelessness, or the risk of homelessness, for this cohort. In matters handled by the ADC, this has included situations where (among other things) the older person:</w:t>
      </w:r>
    </w:p>
    <w:p w:rsidR="00317AD9" w:rsidRDefault="00317AD9" w:rsidP="00317AD9">
      <w:pPr>
        <w:pStyle w:val="BodyText"/>
        <w:numPr>
          <w:ilvl w:val="0"/>
          <w:numId w:val="32"/>
        </w:numPr>
        <w:spacing w:after="0" w:line="240" w:lineRule="auto"/>
        <w:ind w:left="714" w:hanging="357"/>
        <w:rPr>
          <w:rFonts w:ascii="Public Sans" w:hAnsi="Public Sans"/>
          <w:sz w:val="22"/>
        </w:rPr>
      </w:pPr>
      <w:r>
        <w:rPr>
          <w:rFonts w:ascii="Public Sans" w:hAnsi="Public Sans"/>
          <w:sz w:val="22"/>
        </w:rPr>
        <w:t>has needed to leave their home due to ongoing abuse by a household member(s)</w:t>
      </w:r>
    </w:p>
    <w:p w:rsidR="00317AD9" w:rsidRDefault="00317AD9" w:rsidP="00317AD9">
      <w:pPr>
        <w:pStyle w:val="BodyText"/>
        <w:numPr>
          <w:ilvl w:val="0"/>
          <w:numId w:val="32"/>
        </w:numPr>
        <w:spacing w:before="60" w:after="0" w:line="240" w:lineRule="auto"/>
        <w:ind w:left="714" w:hanging="357"/>
        <w:rPr>
          <w:rFonts w:ascii="Public Sans" w:hAnsi="Public Sans"/>
          <w:sz w:val="22"/>
        </w:rPr>
      </w:pPr>
      <w:r>
        <w:rPr>
          <w:rFonts w:ascii="Public Sans" w:hAnsi="Public Sans"/>
          <w:sz w:val="22"/>
        </w:rPr>
        <w:t>has entered into unstable accommodation and financial arrangements with family (usually an adult child) that has left them vulnerable and at risk of homelessness when the relationship has become abusive</w:t>
      </w:r>
    </w:p>
    <w:p w:rsidR="00317AD9" w:rsidRDefault="00317AD9" w:rsidP="00317AD9">
      <w:pPr>
        <w:pStyle w:val="BodyText"/>
        <w:numPr>
          <w:ilvl w:val="0"/>
          <w:numId w:val="32"/>
        </w:numPr>
        <w:spacing w:before="60" w:after="0" w:line="240" w:lineRule="auto"/>
        <w:ind w:left="714" w:hanging="357"/>
        <w:rPr>
          <w:rFonts w:ascii="Public Sans" w:hAnsi="Public Sans"/>
          <w:sz w:val="22"/>
        </w:rPr>
      </w:pPr>
      <w:r>
        <w:rPr>
          <w:rFonts w:ascii="Public Sans" w:hAnsi="Public Sans"/>
          <w:sz w:val="22"/>
        </w:rPr>
        <w:t>has been subject to financial abuse or exploitation (including misuse of a Power of Attorney/ Enduring Power of Attorney) that has left them broke or in debt.</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A particular feature of many of the abuse matters involving older people that have been handled by the ADC is the relationship of trust that the older person has had with the subject of allegation. In many cases, they are family members, spouses, or friends. The nature of the relationship means that the older person can be susceptible to homelessness as they:</w:t>
      </w:r>
    </w:p>
    <w:p w:rsidR="00317AD9" w:rsidRDefault="00317AD9" w:rsidP="00317AD9">
      <w:pPr>
        <w:pStyle w:val="BodyText"/>
        <w:numPr>
          <w:ilvl w:val="0"/>
          <w:numId w:val="33"/>
        </w:numPr>
        <w:spacing w:after="0" w:line="240" w:lineRule="auto"/>
        <w:ind w:left="714" w:hanging="357"/>
        <w:rPr>
          <w:rFonts w:ascii="Public Sans" w:hAnsi="Public Sans"/>
          <w:sz w:val="22"/>
        </w:rPr>
      </w:pPr>
      <w:r>
        <w:rPr>
          <w:rFonts w:ascii="Public Sans" w:hAnsi="Public Sans"/>
          <w:sz w:val="22"/>
        </w:rPr>
        <w:t xml:space="preserve">may not be aware of the actions taken by the family member until the older person is already in difficulty </w:t>
      </w:r>
    </w:p>
    <w:p w:rsidR="00317AD9" w:rsidRDefault="00317AD9" w:rsidP="00317AD9">
      <w:pPr>
        <w:pStyle w:val="BodyText"/>
        <w:numPr>
          <w:ilvl w:val="0"/>
          <w:numId w:val="33"/>
        </w:numPr>
        <w:spacing w:before="0" w:after="0" w:line="240" w:lineRule="auto"/>
        <w:rPr>
          <w:rFonts w:ascii="Public Sans" w:hAnsi="Public Sans"/>
          <w:sz w:val="22"/>
        </w:rPr>
      </w:pPr>
      <w:r>
        <w:rPr>
          <w:rFonts w:ascii="Public Sans" w:hAnsi="Public Sans"/>
          <w:sz w:val="22"/>
        </w:rPr>
        <w:t>believe that the trusted person will look after them</w:t>
      </w:r>
    </w:p>
    <w:p w:rsidR="00317AD9" w:rsidRDefault="00317AD9" w:rsidP="00317AD9">
      <w:pPr>
        <w:pStyle w:val="BodyText"/>
        <w:numPr>
          <w:ilvl w:val="0"/>
          <w:numId w:val="33"/>
        </w:numPr>
        <w:spacing w:before="0" w:after="0" w:line="240" w:lineRule="auto"/>
        <w:rPr>
          <w:rFonts w:ascii="Public Sans" w:hAnsi="Public Sans"/>
          <w:sz w:val="22"/>
        </w:rPr>
      </w:pPr>
      <w:r>
        <w:rPr>
          <w:rFonts w:ascii="Public Sans" w:hAnsi="Public Sans"/>
          <w:sz w:val="22"/>
        </w:rPr>
        <w:t>do not want to take action against the trusted person, notwithstanding the abuse.</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The combined elements can result in the older person being placed in desperate financial and accommodation circumstances with no support, and being unwilling to pursue actions against the trusted person that could help to ameliorate their situation (such as legal or police action). </w:t>
      </w:r>
    </w:p>
    <w:p w:rsidR="00317AD9" w:rsidRDefault="00317AD9" w:rsidP="00317AD9">
      <w:pPr>
        <w:pStyle w:val="BodyText"/>
        <w:spacing w:before="0" w:after="0" w:line="240" w:lineRule="auto"/>
        <w:rPr>
          <w:rFonts w:ascii="Public Sans" w:hAnsi="Public Sans"/>
          <w:sz w:val="22"/>
        </w:rPr>
      </w:pPr>
    </w:p>
    <w:p w:rsidR="00317AD9" w:rsidRPr="001F3DB4" w:rsidRDefault="00317AD9" w:rsidP="00317AD9">
      <w:pPr>
        <w:pStyle w:val="Heading2"/>
        <w:spacing w:before="0" w:after="0"/>
        <w:rPr>
          <w:rFonts w:ascii="Public Sans" w:hAnsi="Public Sans"/>
          <w:b/>
          <w:color w:val="002060"/>
        </w:rPr>
      </w:pPr>
      <w:r w:rsidRPr="00B7654B">
        <w:rPr>
          <w:rFonts w:ascii="Public Sans" w:hAnsi="Public Sans"/>
          <w:b/>
          <w:color w:val="002060"/>
          <w:sz w:val="22"/>
        </w:rPr>
        <w:t>Misuse of Enduring Power of Attorney and Power of Attorney</w:t>
      </w:r>
    </w:p>
    <w:p w:rsidR="00317AD9" w:rsidRDefault="00317AD9" w:rsidP="00317AD9">
      <w:pPr>
        <w:pStyle w:val="BodyText"/>
        <w:spacing w:after="0" w:line="240" w:lineRule="auto"/>
        <w:rPr>
          <w:rFonts w:ascii="Public Sans" w:hAnsi="Public Sans"/>
          <w:sz w:val="22"/>
        </w:rPr>
      </w:pPr>
      <w:r>
        <w:rPr>
          <w:rFonts w:ascii="Public Sans" w:hAnsi="Public Sans"/>
          <w:sz w:val="22"/>
        </w:rPr>
        <w:t xml:space="preserve">Misuse of the Enduring Power of Attorney (EPOA) or Power of Attorney (POA) of an older person by their appointed attorney has been a feature of reports about older people at risk of homelessness. Examples have included the attorney: </w:t>
      </w:r>
    </w:p>
    <w:p w:rsidR="00317AD9" w:rsidRDefault="00317AD9" w:rsidP="00317AD9">
      <w:pPr>
        <w:pStyle w:val="BodyText"/>
        <w:numPr>
          <w:ilvl w:val="0"/>
          <w:numId w:val="24"/>
        </w:numPr>
        <w:spacing w:after="0" w:line="240" w:lineRule="auto"/>
        <w:ind w:left="714" w:hanging="357"/>
        <w:rPr>
          <w:rFonts w:ascii="Public Sans" w:hAnsi="Public Sans"/>
          <w:sz w:val="22"/>
        </w:rPr>
      </w:pPr>
      <w:r>
        <w:rPr>
          <w:rFonts w:ascii="Public Sans" w:hAnsi="Public Sans"/>
          <w:sz w:val="22"/>
        </w:rPr>
        <w:lastRenderedPageBreak/>
        <w:t xml:space="preserve">withdrawing and spending money belonging to the older person for the sole benefit of the attorney </w:t>
      </w:r>
    </w:p>
    <w:p w:rsidR="00317AD9" w:rsidRDefault="00317AD9" w:rsidP="00317AD9">
      <w:pPr>
        <w:pStyle w:val="BodyText"/>
        <w:numPr>
          <w:ilvl w:val="0"/>
          <w:numId w:val="24"/>
        </w:numPr>
        <w:spacing w:before="60" w:after="0" w:line="240" w:lineRule="auto"/>
        <w:ind w:left="714" w:hanging="357"/>
        <w:rPr>
          <w:rFonts w:ascii="Public Sans" w:hAnsi="Public Sans"/>
          <w:sz w:val="22"/>
        </w:rPr>
      </w:pPr>
      <w:r>
        <w:rPr>
          <w:rFonts w:ascii="Public Sans" w:hAnsi="Public Sans"/>
          <w:sz w:val="22"/>
        </w:rPr>
        <w:t xml:space="preserve">making decisions to sell the older person’s home or assets without consultation or against their wishes </w:t>
      </w:r>
    </w:p>
    <w:p w:rsidR="00317AD9" w:rsidRDefault="00317AD9" w:rsidP="00317AD9">
      <w:pPr>
        <w:pStyle w:val="BodyText"/>
        <w:numPr>
          <w:ilvl w:val="0"/>
          <w:numId w:val="24"/>
        </w:numPr>
        <w:spacing w:before="60" w:after="0" w:line="240" w:lineRule="auto"/>
        <w:ind w:left="714" w:hanging="357"/>
        <w:rPr>
          <w:rFonts w:ascii="Public Sans" w:hAnsi="Public Sans"/>
          <w:sz w:val="22"/>
        </w:rPr>
      </w:pPr>
      <w:r>
        <w:rPr>
          <w:rFonts w:ascii="Public Sans" w:hAnsi="Public Sans"/>
          <w:sz w:val="22"/>
        </w:rPr>
        <w:t>taking out mortgages or other loans in the older person’s name without their knowledge or agreement.</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Often, by the time concerns are raised with the ADC (or other parties, such as Police), the older person’s funds have already been lost or substantially depleted, and their financial situation and/or accommodation arrangements are tenuous.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In a range of cases, we have noted that the misuse of the POA or EPOA has been facilitated by the attorney having a lack of understanding of their responsibilities. In terms of early actions that could be taken to prevent misuse of these decision-making authorities that can lead to a risk of homelessness of older people, we consider that there is a need to ensure the consistent provision of clear information to older people and their prospective attorneys about:</w:t>
      </w:r>
    </w:p>
    <w:p w:rsidR="00317AD9" w:rsidRDefault="00317AD9" w:rsidP="00317AD9">
      <w:pPr>
        <w:pStyle w:val="BodyText"/>
        <w:numPr>
          <w:ilvl w:val="0"/>
          <w:numId w:val="34"/>
        </w:numPr>
        <w:spacing w:after="0" w:line="240" w:lineRule="auto"/>
        <w:ind w:left="714" w:hanging="357"/>
        <w:rPr>
          <w:rFonts w:ascii="Public Sans" w:hAnsi="Public Sans"/>
          <w:sz w:val="22"/>
        </w:rPr>
      </w:pPr>
      <w:r>
        <w:rPr>
          <w:rFonts w:ascii="Public Sans" w:hAnsi="Public Sans"/>
          <w:sz w:val="22"/>
        </w:rPr>
        <w:t xml:space="preserve">the differences between a POA, EPOA, and Enduring Guardian </w:t>
      </w:r>
    </w:p>
    <w:p w:rsidR="00317AD9" w:rsidRDefault="00317AD9" w:rsidP="00317AD9">
      <w:pPr>
        <w:pStyle w:val="BodyText"/>
        <w:numPr>
          <w:ilvl w:val="0"/>
          <w:numId w:val="34"/>
        </w:numPr>
        <w:spacing w:before="0" w:after="0" w:line="240" w:lineRule="auto"/>
        <w:rPr>
          <w:rFonts w:ascii="Public Sans" w:hAnsi="Public Sans"/>
          <w:sz w:val="22"/>
        </w:rPr>
      </w:pPr>
      <w:r>
        <w:rPr>
          <w:rFonts w:ascii="Public Sans" w:hAnsi="Public Sans"/>
          <w:sz w:val="22"/>
        </w:rPr>
        <w:t>the responsibilities of attorneys – what they can and can’t do</w:t>
      </w:r>
    </w:p>
    <w:p w:rsidR="00317AD9" w:rsidRDefault="00317AD9" w:rsidP="00317AD9">
      <w:pPr>
        <w:pStyle w:val="BodyText"/>
        <w:numPr>
          <w:ilvl w:val="0"/>
          <w:numId w:val="34"/>
        </w:numPr>
        <w:spacing w:before="0" w:after="0" w:line="240" w:lineRule="auto"/>
        <w:rPr>
          <w:rFonts w:ascii="Public Sans" w:hAnsi="Public Sans"/>
          <w:sz w:val="22"/>
        </w:rPr>
      </w:pPr>
      <w:r>
        <w:rPr>
          <w:rFonts w:ascii="Public Sans" w:hAnsi="Public Sans"/>
          <w:sz w:val="22"/>
        </w:rPr>
        <w:t xml:space="preserve">how to revoke an appointment.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eastAsiaTheme="minorHAnsi" w:hAnsi="Public Sans" w:cs="Tahoma"/>
          <w:color w:val="000000"/>
          <w:sz w:val="22"/>
          <w:szCs w:val="18"/>
          <w:lang w:val="en-US" w:eastAsia="en-US"/>
        </w:rPr>
      </w:pPr>
      <w:r>
        <w:rPr>
          <w:rFonts w:ascii="Public Sans" w:eastAsiaTheme="minorHAnsi" w:hAnsi="Public Sans" w:cs="Tahoma"/>
          <w:color w:val="000000"/>
          <w:sz w:val="22"/>
          <w:szCs w:val="18"/>
          <w:lang w:val="en-US" w:eastAsia="en-US"/>
        </w:rPr>
        <w:t xml:space="preserve">The ADC is currently undertaking work to address the above, and to explore options to make it easier for older people to be compensated for the loss of funds incurred through misuse of their EPOA. </w:t>
      </w:r>
    </w:p>
    <w:p w:rsidR="00317AD9" w:rsidRPr="00017658" w:rsidRDefault="00317AD9" w:rsidP="00317AD9">
      <w:pPr>
        <w:pStyle w:val="BodyText"/>
        <w:spacing w:before="0" w:after="0" w:line="240" w:lineRule="auto"/>
        <w:rPr>
          <w:rFonts w:ascii="Public Sans" w:eastAsiaTheme="minorHAnsi" w:hAnsi="Public Sans" w:cs="Tahoma"/>
          <w:color w:val="000000"/>
          <w:sz w:val="22"/>
          <w:szCs w:val="18"/>
          <w:lang w:val="en-US" w:eastAsia="en-US"/>
        </w:rPr>
      </w:pPr>
    </w:p>
    <w:tbl>
      <w:tblPr>
        <w:tblStyle w:val="TableGrid"/>
        <w:tblW w:w="0" w:type="auto"/>
        <w:tblLook w:val="04A0" w:firstRow="1" w:lastRow="0" w:firstColumn="1" w:lastColumn="0" w:noHBand="0" w:noVBand="1"/>
      </w:tblPr>
      <w:tblGrid>
        <w:gridCol w:w="9288"/>
      </w:tblGrid>
      <w:tr w:rsidR="00317AD9" w:rsidTr="00D64C66">
        <w:tc>
          <w:tcPr>
            <w:tcW w:w="9288" w:type="dxa"/>
          </w:tcPr>
          <w:p w:rsidR="00317AD9" w:rsidRDefault="00317AD9" w:rsidP="00D64C66">
            <w:pPr>
              <w:pStyle w:val="BodyText"/>
              <w:spacing w:after="0" w:line="240" w:lineRule="auto"/>
              <w:rPr>
                <w:rFonts w:ascii="Public Sans" w:eastAsiaTheme="minorHAnsi" w:hAnsi="Public Sans" w:cs="Tahoma"/>
                <w:color w:val="000000"/>
                <w:sz w:val="22"/>
                <w:szCs w:val="18"/>
                <w:lang w:val="en-US" w:eastAsia="en-US"/>
              </w:rPr>
            </w:pPr>
            <w:r w:rsidRPr="00524365">
              <w:rPr>
                <w:rFonts w:ascii="Public Sans" w:eastAsiaTheme="minorHAnsi" w:hAnsi="Public Sans" w:cs="Tahoma"/>
                <w:color w:val="000000"/>
                <w:sz w:val="22"/>
                <w:szCs w:val="18"/>
                <w:lang w:val="en-US" w:eastAsia="en-US"/>
              </w:rPr>
              <w:t xml:space="preserve">The ADC received a report </w:t>
            </w:r>
            <w:r>
              <w:rPr>
                <w:rFonts w:ascii="Public Sans" w:eastAsiaTheme="minorHAnsi" w:hAnsi="Public Sans" w:cs="Tahoma"/>
                <w:color w:val="000000"/>
                <w:sz w:val="22"/>
                <w:szCs w:val="18"/>
                <w:lang w:val="en-US" w:eastAsia="en-US"/>
              </w:rPr>
              <w:t>about</w:t>
            </w:r>
            <w:r w:rsidRPr="00524365">
              <w:rPr>
                <w:rFonts w:ascii="Public Sans" w:eastAsiaTheme="minorHAnsi" w:hAnsi="Public Sans" w:cs="Tahoma"/>
                <w:color w:val="000000"/>
                <w:sz w:val="22"/>
                <w:szCs w:val="18"/>
                <w:lang w:val="en-US" w:eastAsia="en-US"/>
              </w:rPr>
              <w:t xml:space="preserve"> an older woman with dementia who had </w:t>
            </w:r>
            <w:r>
              <w:rPr>
                <w:rFonts w:ascii="Public Sans" w:eastAsiaTheme="minorHAnsi" w:hAnsi="Public Sans" w:cs="Tahoma"/>
                <w:color w:val="000000"/>
                <w:sz w:val="22"/>
                <w:szCs w:val="18"/>
                <w:lang w:val="en-US" w:eastAsia="en-US"/>
              </w:rPr>
              <w:t>many a</w:t>
            </w:r>
            <w:r w:rsidRPr="00524365">
              <w:rPr>
                <w:rFonts w:ascii="Public Sans" w:eastAsiaTheme="minorHAnsi" w:hAnsi="Public Sans" w:cs="Tahoma"/>
                <w:color w:val="000000"/>
                <w:sz w:val="22"/>
                <w:szCs w:val="18"/>
                <w:lang w:val="en-US" w:eastAsia="en-US"/>
              </w:rPr>
              <w:t xml:space="preserve">dult children. A complicated set of legal arrangements </w:t>
            </w:r>
            <w:r>
              <w:rPr>
                <w:rFonts w:ascii="Public Sans" w:eastAsiaTheme="minorHAnsi" w:hAnsi="Public Sans" w:cs="Tahoma"/>
                <w:color w:val="000000"/>
                <w:sz w:val="22"/>
                <w:szCs w:val="18"/>
                <w:lang w:val="en-US" w:eastAsia="en-US"/>
              </w:rPr>
              <w:t xml:space="preserve">was entered into </w:t>
            </w:r>
            <w:r w:rsidRPr="00524365">
              <w:rPr>
                <w:rFonts w:ascii="Public Sans" w:eastAsiaTheme="minorHAnsi" w:hAnsi="Public Sans" w:cs="Tahoma"/>
                <w:color w:val="000000"/>
                <w:sz w:val="22"/>
                <w:szCs w:val="18"/>
                <w:lang w:val="en-US" w:eastAsia="en-US"/>
              </w:rPr>
              <w:t>re</w:t>
            </w:r>
            <w:r>
              <w:rPr>
                <w:rFonts w:ascii="Public Sans" w:eastAsiaTheme="minorHAnsi" w:hAnsi="Public Sans" w:cs="Tahoma"/>
                <w:color w:val="000000"/>
                <w:sz w:val="22"/>
                <w:szCs w:val="18"/>
                <w:lang w:val="en-US" w:eastAsia="en-US"/>
              </w:rPr>
              <w:t xml:space="preserve">lating to </w:t>
            </w:r>
            <w:r w:rsidRPr="00524365">
              <w:rPr>
                <w:rFonts w:ascii="Public Sans" w:eastAsiaTheme="minorHAnsi" w:hAnsi="Public Sans" w:cs="Tahoma"/>
                <w:color w:val="000000"/>
                <w:sz w:val="22"/>
                <w:szCs w:val="18"/>
                <w:lang w:val="en-US" w:eastAsia="en-US"/>
              </w:rPr>
              <w:t xml:space="preserve">a family trust. During a redistribution of the family trust, a house that was subject to a mortgage was put into the name of the older woman. The older woman did not have capacity to meet the mortgage repayments. </w:t>
            </w:r>
          </w:p>
          <w:p w:rsidR="00317AD9" w:rsidRDefault="00317AD9" w:rsidP="00D64C66">
            <w:pPr>
              <w:pStyle w:val="BodyText"/>
              <w:spacing w:before="0" w:after="0" w:line="240" w:lineRule="auto"/>
              <w:rPr>
                <w:rFonts w:ascii="Public Sans" w:eastAsiaTheme="minorHAnsi" w:hAnsi="Public Sans" w:cs="Tahoma"/>
                <w:color w:val="000000"/>
                <w:sz w:val="22"/>
                <w:szCs w:val="18"/>
                <w:lang w:val="en-US" w:eastAsia="en-US"/>
              </w:rPr>
            </w:pPr>
          </w:p>
          <w:p w:rsidR="00317AD9" w:rsidRDefault="00317AD9" w:rsidP="00D64C66">
            <w:pPr>
              <w:pStyle w:val="BodyText"/>
              <w:spacing w:before="0" w:after="0" w:line="240" w:lineRule="auto"/>
              <w:rPr>
                <w:rFonts w:ascii="Public Sans" w:hAnsi="Public Sans"/>
                <w:sz w:val="22"/>
              </w:rPr>
            </w:pPr>
            <w:r w:rsidRPr="00524365">
              <w:rPr>
                <w:rFonts w:ascii="Public Sans" w:eastAsiaTheme="minorHAnsi" w:hAnsi="Public Sans" w:cs="Tahoma"/>
                <w:color w:val="000000"/>
                <w:sz w:val="22"/>
                <w:szCs w:val="18"/>
                <w:lang w:val="en-US" w:eastAsia="en-US"/>
              </w:rPr>
              <w:t xml:space="preserve">There were concerns </w:t>
            </w:r>
            <w:r>
              <w:rPr>
                <w:rFonts w:ascii="Public Sans" w:eastAsiaTheme="minorHAnsi" w:hAnsi="Public Sans" w:cs="Tahoma"/>
                <w:color w:val="000000"/>
                <w:sz w:val="22"/>
                <w:szCs w:val="18"/>
                <w:lang w:val="en-US" w:eastAsia="en-US"/>
              </w:rPr>
              <w:t>about</w:t>
            </w:r>
            <w:r w:rsidRPr="00524365">
              <w:rPr>
                <w:rFonts w:ascii="Public Sans" w:eastAsiaTheme="minorHAnsi" w:hAnsi="Public Sans" w:cs="Tahoma"/>
                <w:color w:val="000000"/>
                <w:sz w:val="22"/>
                <w:szCs w:val="18"/>
                <w:lang w:val="en-US" w:eastAsia="en-US"/>
              </w:rPr>
              <w:t xml:space="preserve"> the decision</w:t>
            </w:r>
            <w:r>
              <w:rPr>
                <w:rFonts w:ascii="Public Sans" w:eastAsiaTheme="minorHAnsi" w:hAnsi="Public Sans" w:cs="Tahoma"/>
                <w:color w:val="000000"/>
                <w:sz w:val="22"/>
                <w:szCs w:val="18"/>
                <w:lang w:val="en-US" w:eastAsia="en-US"/>
              </w:rPr>
              <w:t>s being made by the adult children she had appointed as her Enduring Power of Attorney,</w:t>
            </w:r>
            <w:r w:rsidRPr="00524365">
              <w:rPr>
                <w:rFonts w:ascii="Public Sans" w:eastAsiaTheme="minorHAnsi" w:hAnsi="Public Sans" w:cs="Tahoma"/>
                <w:color w:val="000000"/>
                <w:sz w:val="22"/>
                <w:szCs w:val="18"/>
                <w:lang w:val="en-US" w:eastAsia="en-US"/>
              </w:rPr>
              <w:t xml:space="preserve"> as </w:t>
            </w:r>
            <w:r>
              <w:rPr>
                <w:rFonts w:ascii="Public Sans" w:eastAsiaTheme="minorHAnsi" w:hAnsi="Public Sans" w:cs="Tahoma"/>
                <w:color w:val="000000"/>
                <w:sz w:val="22"/>
                <w:szCs w:val="18"/>
                <w:lang w:val="en-US" w:eastAsia="en-US"/>
              </w:rPr>
              <w:t>she</w:t>
            </w:r>
            <w:r w:rsidRPr="00524365">
              <w:rPr>
                <w:rFonts w:ascii="Public Sans" w:hAnsi="Public Sans"/>
                <w:sz w:val="22"/>
              </w:rPr>
              <w:t xml:space="preserve"> did not have access to her money, and her health and </w:t>
            </w:r>
            <w:r>
              <w:rPr>
                <w:rFonts w:ascii="Public Sans" w:hAnsi="Public Sans"/>
                <w:sz w:val="22"/>
              </w:rPr>
              <w:t xml:space="preserve">day-to-day </w:t>
            </w:r>
            <w:r w:rsidRPr="00524365">
              <w:rPr>
                <w:rFonts w:ascii="Public Sans" w:hAnsi="Public Sans"/>
                <w:sz w:val="22"/>
              </w:rPr>
              <w:t xml:space="preserve">care was </w:t>
            </w:r>
            <w:r>
              <w:rPr>
                <w:rFonts w:ascii="Public Sans" w:hAnsi="Public Sans"/>
                <w:sz w:val="22"/>
              </w:rPr>
              <w:t xml:space="preserve">adversely </w:t>
            </w:r>
            <w:r w:rsidRPr="00524365">
              <w:rPr>
                <w:rFonts w:ascii="Public Sans" w:hAnsi="Public Sans"/>
                <w:sz w:val="22"/>
              </w:rPr>
              <w:t>affected by disputes among the</w:t>
            </w:r>
            <w:r>
              <w:rPr>
                <w:rFonts w:ascii="Public Sans" w:hAnsi="Public Sans"/>
                <w:sz w:val="22"/>
              </w:rPr>
              <w:t xml:space="preserve"> attorneys</w:t>
            </w:r>
            <w:r w:rsidRPr="00524365">
              <w:rPr>
                <w:rFonts w:ascii="Public Sans" w:hAnsi="Public Sans"/>
                <w:sz w:val="22"/>
              </w:rPr>
              <w:t xml:space="preserve">. </w:t>
            </w:r>
          </w:p>
          <w:p w:rsidR="00317AD9" w:rsidRDefault="00317AD9" w:rsidP="00D64C66">
            <w:pPr>
              <w:pStyle w:val="BodyText"/>
              <w:spacing w:before="0" w:after="0" w:line="240" w:lineRule="auto"/>
              <w:rPr>
                <w:rFonts w:ascii="Public Sans" w:hAnsi="Public Sans"/>
                <w:sz w:val="22"/>
              </w:rPr>
            </w:pPr>
          </w:p>
          <w:p w:rsidR="00317AD9" w:rsidRDefault="00317AD9" w:rsidP="00031A84">
            <w:pPr>
              <w:pStyle w:val="BodyText"/>
              <w:spacing w:before="0" w:line="240" w:lineRule="auto"/>
              <w:rPr>
                <w:rFonts w:ascii="Public Sans" w:eastAsiaTheme="minorHAnsi" w:hAnsi="Public Sans" w:cs="Tahoma"/>
                <w:i/>
                <w:color w:val="000000"/>
                <w:sz w:val="22"/>
                <w:szCs w:val="18"/>
                <w:lang w:val="en-US" w:eastAsia="en-US"/>
              </w:rPr>
            </w:pPr>
            <w:r w:rsidRPr="00524365">
              <w:rPr>
                <w:rFonts w:ascii="Public Sans" w:hAnsi="Public Sans"/>
                <w:sz w:val="22"/>
              </w:rPr>
              <w:t xml:space="preserve">It became apparent </w:t>
            </w:r>
            <w:r>
              <w:rPr>
                <w:rFonts w:ascii="Public Sans" w:hAnsi="Public Sans"/>
                <w:sz w:val="22"/>
              </w:rPr>
              <w:t xml:space="preserve">that </w:t>
            </w:r>
            <w:r w:rsidRPr="00524365">
              <w:rPr>
                <w:rFonts w:ascii="Public Sans" w:hAnsi="Public Sans"/>
                <w:sz w:val="22"/>
              </w:rPr>
              <w:t xml:space="preserve">the adult children </w:t>
            </w:r>
            <w:r>
              <w:rPr>
                <w:rFonts w:ascii="Public Sans" w:hAnsi="Public Sans"/>
                <w:sz w:val="22"/>
              </w:rPr>
              <w:t xml:space="preserve">were not acting in accordance with the wishes or </w:t>
            </w:r>
            <w:r w:rsidRPr="00524365">
              <w:rPr>
                <w:rFonts w:ascii="Public Sans" w:hAnsi="Public Sans"/>
                <w:sz w:val="22"/>
              </w:rPr>
              <w:t xml:space="preserve">interests of the older </w:t>
            </w:r>
            <w:r w:rsidRPr="00AA6167">
              <w:rPr>
                <w:rFonts w:ascii="Public Sans" w:hAnsi="Public Sans"/>
                <w:sz w:val="22"/>
              </w:rPr>
              <w:t xml:space="preserve">woman, were putting her financial wellbeing at risk, and increasing her risk of homelessness. </w:t>
            </w:r>
            <w:r w:rsidR="00BE49D0">
              <w:rPr>
                <w:rFonts w:ascii="Public Sans" w:hAnsi="Public Sans"/>
                <w:sz w:val="22"/>
              </w:rPr>
              <w:t xml:space="preserve">A mediation support </w:t>
            </w:r>
            <w:r w:rsidR="00BE49D0" w:rsidRPr="00BE49D0">
              <w:rPr>
                <w:rFonts w:ascii="Public Sans" w:hAnsi="Public Sans"/>
                <w:sz w:val="22"/>
              </w:rPr>
              <w:t xml:space="preserve">service </w:t>
            </w:r>
            <w:r w:rsidR="00031A84">
              <w:rPr>
                <w:rFonts w:ascii="Public Sans" w:hAnsi="Public Sans"/>
                <w:sz w:val="22"/>
              </w:rPr>
              <w:t>assisting</w:t>
            </w:r>
            <w:r w:rsidR="00BE49D0" w:rsidRPr="00BE49D0">
              <w:rPr>
                <w:rFonts w:ascii="Public Sans" w:hAnsi="Public Sans"/>
                <w:sz w:val="22"/>
              </w:rPr>
              <w:t xml:space="preserve"> t</w:t>
            </w:r>
            <w:r w:rsidRPr="00BE49D0">
              <w:rPr>
                <w:rFonts w:ascii="Public Sans" w:hAnsi="Public Sans"/>
                <w:sz w:val="22"/>
              </w:rPr>
              <w:t xml:space="preserve">he older woman </w:t>
            </w:r>
            <w:r w:rsidR="00BE49D0" w:rsidRPr="00BE49D0">
              <w:rPr>
                <w:rFonts w:ascii="Public Sans" w:hAnsi="Public Sans"/>
                <w:sz w:val="22"/>
              </w:rPr>
              <w:t xml:space="preserve">submitted an </w:t>
            </w:r>
            <w:r w:rsidRPr="00BE49D0">
              <w:rPr>
                <w:rFonts w:ascii="Public Sans" w:hAnsi="Public Sans"/>
                <w:sz w:val="22"/>
              </w:rPr>
              <w:t>appl</w:t>
            </w:r>
            <w:r w:rsidR="00BE49D0" w:rsidRPr="00BE49D0">
              <w:rPr>
                <w:rFonts w:ascii="Public Sans" w:hAnsi="Public Sans"/>
                <w:sz w:val="22"/>
              </w:rPr>
              <w:t>ication</w:t>
            </w:r>
            <w:r w:rsidRPr="00BE49D0">
              <w:rPr>
                <w:rFonts w:ascii="Public Sans" w:hAnsi="Public Sans"/>
                <w:sz w:val="22"/>
              </w:rPr>
              <w:t xml:space="preserve"> to NCAT for</w:t>
            </w:r>
            <w:r w:rsidR="00BE49D0">
              <w:rPr>
                <w:rFonts w:ascii="Public Sans" w:hAnsi="Public Sans"/>
                <w:sz w:val="22"/>
              </w:rPr>
              <w:t xml:space="preserve"> financial management and</w:t>
            </w:r>
            <w:r w:rsidRPr="00BE49D0">
              <w:rPr>
                <w:rFonts w:ascii="Public Sans" w:hAnsi="Public Sans"/>
                <w:sz w:val="22"/>
              </w:rPr>
              <w:t xml:space="preserve"> safeguarding of her estate.</w:t>
            </w:r>
            <w:r>
              <w:rPr>
                <w:rFonts w:ascii="Public Sans" w:hAnsi="Public Sans"/>
                <w:sz w:val="22"/>
              </w:rPr>
              <w:t xml:space="preserve"> </w:t>
            </w:r>
          </w:p>
        </w:tc>
      </w:tr>
    </w:tbl>
    <w:p w:rsidR="00317AD9" w:rsidRDefault="00317AD9" w:rsidP="00317AD9">
      <w:pPr>
        <w:pStyle w:val="BodyText"/>
        <w:spacing w:before="0" w:after="0" w:line="240" w:lineRule="auto"/>
        <w:rPr>
          <w:rFonts w:ascii="Public Sans" w:hAnsi="Public Sans"/>
          <w:sz w:val="22"/>
        </w:rPr>
      </w:pPr>
    </w:p>
    <w:p w:rsidR="00317AD9" w:rsidRPr="001F3DB4" w:rsidRDefault="00317AD9" w:rsidP="00317AD9">
      <w:pPr>
        <w:pStyle w:val="Heading2"/>
        <w:spacing w:before="0" w:after="0"/>
        <w:rPr>
          <w:rFonts w:ascii="Public Sans" w:hAnsi="Public Sans"/>
          <w:b/>
          <w:color w:val="002060"/>
          <w:sz w:val="24"/>
        </w:rPr>
      </w:pPr>
      <w:r w:rsidRPr="00B7654B">
        <w:rPr>
          <w:rFonts w:ascii="Public Sans" w:hAnsi="Public Sans"/>
          <w:b/>
          <w:color w:val="002060"/>
        </w:rPr>
        <w:t>Guarant</w:t>
      </w:r>
      <w:r>
        <w:rPr>
          <w:rFonts w:ascii="Public Sans" w:hAnsi="Public Sans"/>
          <w:b/>
          <w:color w:val="002060"/>
        </w:rPr>
        <w:t>eeing</w:t>
      </w:r>
      <w:r w:rsidRPr="00B7654B">
        <w:rPr>
          <w:rFonts w:ascii="Public Sans" w:hAnsi="Public Sans"/>
          <w:b/>
          <w:color w:val="002060"/>
        </w:rPr>
        <w:t xml:space="preserve"> loans</w:t>
      </w:r>
    </w:p>
    <w:p w:rsidR="00317AD9" w:rsidRDefault="00317AD9" w:rsidP="00317AD9">
      <w:pPr>
        <w:pStyle w:val="BodyText"/>
        <w:spacing w:after="0" w:line="240" w:lineRule="auto"/>
        <w:rPr>
          <w:rFonts w:ascii="Public Sans" w:hAnsi="Public Sans"/>
          <w:sz w:val="22"/>
        </w:rPr>
      </w:pPr>
      <w:r>
        <w:rPr>
          <w:rFonts w:ascii="Public Sans" w:hAnsi="Public Sans"/>
          <w:sz w:val="22"/>
        </w:rPr>
        <w:t xml:space="preserve">In a range of reports received by the ADC about financial exploitation of older people, the older person has become the guarantor on a loan(s) taken out by their adult child (or other relative). In some cases, the adult child has misused their position as POA/EPOA; in other cases, the older person has not adequately understood their legal obligations prior to becoming the guarantor.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sidRPr="00273B0C">
        <w:rPr>
          <w:rFonts w:ascii="Public Sans" w:hAnsi="Public Sans"/>
          <w:sz w:val="22"/>
        </w:rPr>
        <w:t>The ADC has noted the need for financial services</w:t>
      </w:r>
      <w:r>
        <w:rPr>
          <w:rFonts w:ascii="Public Sans" w:hAnsi="Public Sans"/>
          <w:sz w:val="22"/>
        </w:rPr>
        <w:t xml:space="preserve"> to ensure that accessible and easy to understand information is provided to older people to assist them to understand their financial obligations and make informed decisions about whether to guarantee the loan. </w:t>
      </w:r>
    </w:p>
    <w:p w:rsidR="00317AD9" w:rsidRDefault="00317AD9" w:rsidP="00317AD9">
      <w:pPr>
        <w:pStyle w:val="BodyText"/>
        <w:spacing w:before="0" w:after="0" w:line="240" w:lineRule="auto"/>
        <w:rPr>
          <w:rFonts w:ascii="Public Sans" w:hAnsi="Public Sans"/>
          <w:sz w:val="22"/>
        </w:rPr>
      </w:pPr>
    </w:p>
    <w:tbl>
      <w:tblPr>
        <w:tblStyle w:val="TableGrid"/>
        <w:tblW w:w="0" w:type="auto"/>
        <w:tblLook w:val="04A0" w:firstRow="1" w:lastRow="0" w:firstColumn="1" w:lastColumn="0" w:noHBand="0" w:noVBand="1"/>
      </w:tblPr>
      <w:tblGrid>
        <w:gridCol w:w="9288"/>
      </w:tblGrid>
      <w:tr w:rsidR="00317AD9" w:rsidTr="00D64C66">
        <w:tc>
          <w:tcPr>
            <w:tcW w:w="9288" w:type="dxa"/>
          </w:tcPr>
          <w:p w:rsidR="00317AD9" w:rsidRDefault="00317AD9" w:rsidP="00D64C66">
            <w:pPr>
              <w:pStyle w:val="BodyText"/>
              <w:spacing w:after="0" w:line="240" w:lineRule="auto"/>
              <w:rPr>
                <w:rFonts w:ascii="Public Sans" w:hAnsi="Public Sans"/>
                <w:sz w:val="22"/>
              </w:rPr>
            </w:pPr>
            <w:r w:rsidRPr="004829BD">
              <w:rPr>
                <w:rFonts w:ascii="Public Sans" w:hAnsi="Public Sans"/>
                <w:sz w:val="22"/>
              </w:rPr>
              <w:lastRenderedPageBreak/>
              <w:t xml:space="preserve">The ADC received a report about an older woman who was made guarantor on a loan for her son. </w:t>
            </w:r>
            <w:r>
              <w:rPr>
                <w:rFonts w:ascii="Public Sans" w:hAnsi="Public Sans"/>
                <w:sz w:val="22"/>
              </w:rPr>
              <w:t>The older person’s</w:t>
            </w:r>
            <w:r w:rsidRPr="004829BD">
              <w:rPr>
                <w:rFonts w:ascii="Public Sans" w:hAnsi="Public Sans"/>
                <w:sz w:val="22"/>
              </w:rPr>
              <w:t xml:space="preserve"> son defaulted on the loan, and </w:t>
            </w:r>
            <w:r>
              <w:rPr>
                <w:rFonts w:ascii="Public Sans" w:hAnsi="Public Sans"/>
                <w:sz w:val="22"/>
              </w:rPr>
              <w:t xml:space="preserve">she </w:t>
            </w:r>
            <w:r w:rsidRPr="004829BD">
              <w:rPr>
                <w:rFonts w:ascii="Public Sans" w:hAnsi="Public Sans"/>
                <w:sz w:val="22"/>
              </w:rPr>
              <w:t xml:space="preserve">was forced to vacate her home as she was unable to pay. </w:t>
            </w:r>
          </w:p>
          <w:p w:rsidR="00317AD9" w:rsidRDefault="00317AD9" w:rsidP="00D64C66">
            <w:pPr>
              <w:pStyle w:val="BodyText"/>
              <w:spacing w:before="0" w:after="0" w:line="240" w:lineRule="auto"/>
              <w:rPr>
                <w:rFonts w:ascii="Public Sans" w:hAnsi="Public Sans"/>
                <w:sz w:val="22"/>
              </w:rPr>
            </w:pPr>
          </w:p>
          <w:p w:rsidR="00317AD9" w:rsidRPr="004829BD" w:rsidRDefault="00317AD9" w:rsidP="00D64C66">
            <w:pPr>
              <w:pStyle w:val="BodyText"/>
              <w:spacing w:before="0" w:line="240" w:lineRule="auto"/>
              <w:rPr>
                <w:rFonts w:ascii="Public Sans" w:hAnsi="Public Sans"/>
                <w:sz w:val="22"/>
              </w:rPr>
            </w:pPr>
            <w:r w:rsidRPr="004829BD">
              <w:rPr>
                <w:rFonts w:ascii="Public Sans" w:hAnsi="Public Sans"/>
                <w:sz w:val="22"/>
              </w:rPr>
              <w:t xml:space="preserve">The older woman became homeless and eventually moved in with extended family. The reporter held concerns that the older woman may not have understood the implications of being guarantor for her son, and indicated </w:t>
            </w:r>
            <w:r>
              <w:rPr>
                <w:rFonts w:ascii="Public Sans" w:hAnsi="Public Sans"/>
                <w:sz w:val="22"/>
              </w:rPr>
              <w:t xml:space="preserve">that </w:t>
            </w:r>
            <w:r w:rsidRPr="004829BD">
              <w:rPr>
                <w:rFonts w:ascii="Public Sans" w:hAnsi="Public Sans"/>
                <w:sz w:val="22"/>
              </w:rPr>
              <w:t xml:space="preserve">the older woman would be reluctant to report the matter herself due to fear of </w:t>
            </w:r>
            <w:r>
              <w:rPr>
                <w:rFonts w:ascii="Public Sans" w:hAnsi="Public Sans"/>
                <w:sz w:val="22"/>
              </w:rPr>
              <w:t>retribution by h</w:t>
            </w:r>
            <w:r w:rsidRPr="004829BD">
              <w:rPr>
                <w:rFonts w:ascii="Public Sans" w:hAnsi="Public Sans"/>
                <w:sz w:val="22"/>
              </w:rPr>
              <w:t xml:space="preserve">er son. </w:t>
            </w:r>
          </w:p>
        </w:tc>
      </w:tr>
    </w:tbl>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More broadly, there is a need to have information in multiple formats and languages available for older people so they are aware of their obligations if entering into any legal or financial agreement (including accommodation arrangements such as granny flat arrangements).  </w:t>
      </w:r>
    </w:p>
    <w:p w:rsidR="00317AD9" w:rsidRDefault="00317AD9" w:rsidP="00317AD9">
      <w:pPr>
        <w:pStyle w:val="BodyText"/>
        <w:spacing w:before="0" w:after="0" w:line="240" w:lineRule="auto"/>
        <w:rPr>
          <w:rFonts w:ascii="Public Sans" w:hAnsi="Public Sans"/>
          <w:sz w:val="22"/>
        </w:rPr>
      </w:pPr>
    </w:p>
    <w:p w:rsidR="00317AD9" w:rsidRPr="001F3DB4" w:rsidRDefault="00317AD9" w:rsidP="00317AD9">
      <w:pPr>
        <w:pStyle w:val="Heading2"/>
        <w:spacing w:before="0" w:after="0"/>
        <w:rPr>
          <w:rFonts w:ascii="Public Sans" w:hAnsi="Public Sans"/>
          <w:b/>
          <w:color w:val="002060"/>
        </w:rPr>
      </w:pPr>
      <w:r>
        <w:rPr>
          <w:rFonts w:ascii="Public Sans" w:hAnsi="Public Sans"/>
          <w:b/>
          <w:color w:val="002060"/>
        </w:rPr>
        <w:t>Granny flat</w:t>
      </w:r>
      <w:r w:rsidRPr="001F3DB4">
        <w:rPr>
          <w:rFonts w:ascii="Public Sans" w:hAnsi="Public Sans"/>
          <w:b/>
          <w:color w:val="002060"/>
        </w:rPr>
        <w:t xml:space="preserve"> housing arrangements </w:t>
      </w:r>
    </w:p>
    <w:p w:rsidR="00317AD9" w:rsidRDefault="00317AD9" w:rsidP="00317AD9">
      <w:pPr>
        <w:pStyle w:val="BodyText"/>
        <w:spacing w:after="0" w:line="240" w:lineRule="auto"/>
        <w:rPr>
          <w:rFonts w:ascii="Public Sans" w:hAnsi="Public Sans"/>
          <w:sz w:val="22"/>
        </w:rPr>
      </w:pPr>
      <w:r>
        <w:rPr>
          <w:rFonts w:ascii="Public Sans" w:hAnsi="Public Sans"/>
          <w:sz w:val="22"/>
        </w:rPr>
        <w:t>Granny flats can be a viable option to meet the needs of older people and enable them to maintain their independence while living in close proximity to extended family. However, reports to the ADC have highlighted factors associated with granny flat arrangements that can place older people at risk of homelessness, including:</w:t>
      </w:r>
    </w:p>
    <w:p w:rsidR="00317AD9" w:rsidRDefault="00317AD9" w:rsidP="00317AD9">
      <w:pPr>
        <w:pStyle w:val="BodyText"/>
        <w:numPr>
          <w:ilvl w:val="0"/>
          <w:numId w:val="25"/>
        </w:numPr>
        <w:spacing w:after="0" w:line="240" w:lineRule="auto"/>
        <w:ind w:left="714" w:hanging="357"/>
        <w:rPr>
          <w:rFonts w:ascii="Public Sans" w:hAnsi="Public Sans"/>
          <w:sz w:val="22"/>
        </w:rPr>
      </w:pPr>
      <w:r w:rsidRPr="00454539">
        <w:rPr>
          <w:rFonts w:ascii="Public Sans" w:hAnsi="Public Sans"/>
          <w:sz w:val="22"/>
        </w:rPr>
        <w:t>a lack of legal protections or awareness of the information contained</w:t>
      </w:r>
      <w:r>
        <w:rPr>
          <w:rFonts w:ascii="Public Sans" w:hAnsi="Public Sans"/>
          <w:sz w:val="22"/>
        </w:rPr>
        <w:t xml:space="preserve"> in the property deeds to the granny flat residence </w:t>
      </w:r>
    </w:p>
    <w:p w:rsidR="00317AD9" w:rsidRDefault="00317AD9" w:rsidP="00317AD9">
      <w:pPr>
        <w:pStyle w:val="BodyText"/>
        <w:numPr>
          <w:ilvl w:val="0"/>
          <w:numId w:val="25"/>
        </w:numPr>
        <w:spacing w:after="0" w:line="240" w:lineRule="auto"/>
        <w:ind w:left="714" w:hanging="357"/>
        <w:rPr>
          <w:rFonts w:ascii="Public Sans" w:hAnsi="Public Sans"/>
          <w:sz w:val="22"/>
        </w:rPr>
      </w:pPr>
      <w:r>
        <w:rPr>
          <w:rFonts w:ascii="Public Sans" w:hAnsi="Public Sans"/>
          <w:sz w:val="22"/>
        </w:rPr>
        <w:t>coercion by the adult child(ren) to sell the older person’s house and fund the building of the granny flat, especially if the granny flat adds value to the adult child’s residence with no appropriate legal paperwork put in place</w:t>
      </w:r>
    </w:p>
    <w:p w:rsidR="00317AD9" w:rsidRDefault="00317AD9" w:rsidP="00317AD9">
      <w:pPr>
        <w:pStyle w:val="BodyText"/>
        <w:numPr>
          <w:ilvl w:val="0"/>
          <w:numId w:val="25"/>
        </w:numPr>
        <w:spacing w:after="0" w:line="240" w:lineRule="auto"/>
        <w:ind w:left="714" w:hanging="357"/>
        <w:rPr>
          <w:rFonts w:ascii="Public Sans" w:hAnsi="Public Sans"/>
          <w:sz w:val="22"/>
        </w:rPr>
      </w:pPr>
      <w:r>
        <w:rPr>
          <w:rFonts w:ascii="Public Sans" w:hAnsi="Public Sans"/>
          <w:sz w:val="22"/>
        </w:rPr>
        <w:t>increased risk of abuse, neglect and exploitation as a result of relationship breakdowns due to extraneous pressures with adult children living in close proximity, such as unforeseen caring needs of the older person.</w:t>
      </w:r>
    </w:p>
    <w:p w:rsidR="00317AD9" w:rsidRDefault="00317AD9" w:rsidP="00317AD9">
      <w:pPr>
        <w:autoSpaceDE w:val="0"/>
        <w:autoSpaceDN w:val="0"/>
        <w:adjustRightInd w:val="0"/>
        <w:ind w:left="357"/>
        <w:rPr>
          <w:rFonts w:ascii="Public Sans" w:hAnsi="Public Sans" w:cs="Tahoma"/>
          <w:i/>
          <w:color w:val="000000"/>
          <w:sz w:val="22"/>
          <w:szCs w:val="18"/>
          <w:lang w:val="en-US"/>
        </w:rPr>
      </w:pPr>
    </w:p>
    <w:tbl>
      <w:tblPr>
        <w:tblStyle w:val="TableGrid"/>
        <w:tblW w:w="5000" w:type="pct"/>
        <w:tblLook w:val="04A0" w:firstRow="1" w:lastRow="0" w:firstColumn="1" w:lastColumn="0" w:noHBand="0" w:noVBand="1"/>
      </w:tblPr>
      <w:tblGrid>
        <w:gridCol w:w="9288"/>
      </w:tblGrid>
      <w:tr w:rsidR="00317AD9" w:rsidTr="00D64C66">
        <w:tc>
          <w:tcPr>
            <w:tcW w:w="5000" w:type="pct"/>
          </w:tcPr>
          <w:p w:rsidR="00317AD9" w:rsidRDefault="00317AD9" w:rsidP="00D64C66">
            <w:pPr>
              <w:autoSpaceDE w:val="0"/>
              <w:autoSpaceDN w:val="0"/>
              <w:adjustRightInd w:val="0"/>
              <w:spacing w:before="120"/>
              <w:rPr>
                <w:rFonts w:ascii="Public Sans" w:hAnsi="Public Sans" w:cs="Tahoma"/>
                <w:color w:val="000000"/>
                <w:sz w:val="22"/>
                <w:szCs w:val="18"/>
                <w:lang w:val="en-US"/>
              </w:rPr>
            </w:pPr>
            <w:r w:rsidRPr="00703BCB">
              <w:rPr>
                <w:rFonts w:ascii="Public Sans" w:hAnsi="Public Sans" w:cs="Tahoma"/>
                <w:color w:val="000000"/>
                <w:sz w:val="22"/>
                <w:szCs w:val="18"/>
                <w:lang w:val="en-US"/>
              </w:rPr>
              <w:t xml:space="preserve">The ADC received a report </w:t>
            </w:r>
            <w:r>
              <w:rPr>
                <w:rFonts w:ascii="Public Sans" w:hAnsi="Public Sans" w:cs="Tahoma"/>
                <w:color w:val="000000"/>
                <w:sz w:val="22"/>
                <w:szCs w:val="18"/>
                <w:lang w:val="en-US"/>
              </w:rPr>
              <w:t>about</w:t>
            </w:r>
            <w:r w:rsidRPr="00703BCB">
              <w:rPr>
                <w:rFonts w:ascii="Public Sans" w:hAnsi="Public Sans" w:cs="Tahoma"/>
                <w:color w:val="000000"/>
                <w:sz w:val="22"/>
                <w:szCs w:val="18"/>
                <w:lang w:val="en-US"/>
              </w:rPr>
              <w:t xml:space="preserve"> an older woman and man who lived in a granny flat on their daughter and son</w:t>
            </w:r>
            <w:r>
              <w:rPr>
                <w:rFonts w:ascii="Public Sans" w:hAnsi="Public Sans" w:cs="Tahoma"/>
                <w:color w:val="000000"/>
                <w:sz w:val="22"/>
                <w:szCs w:val="18"/>
                <w:lang w:val="en-US"/>
              </w:rPr>
              <w:t>-</w:t>
            </w:r>
            <w:r w:rsidRPr="00703BCB">
              <w:rPr>
                <w:rFonts w:ascii="Public Sans" w:hAnsi="Public Sans" w:cs="Tahoma"/>
                <w:color w:val="000000"/>
                <w:sz w:val="22"/>
                <w:szCs w:val="18"/>
                <w:lang w:val="en-US"/>
              </w:rPr>
              <w:t>in</w:t>
            </w:r>
            <w:r>
              <w:rPr>
                <w:rFonts w:ascii="Public Sans" w:hAnsi="Public Sans" w:cs="Tahoma"/>
                <w:color w:val="000000"/>
                <w:sz w:val="22"/>
                <w:szCs w:val="18"/>
                <w:lang w:val="en-US"/>
              </w:rPr>
              <w:t>-</w:t>
            </w:r>
            <w:r w:rsidRPr="00703BCB">
              <w:rPr>
                <w:rFonts w:ascii="Public Sans" w:hAnsi="Public Sans" w:cs="Tahoma"/>
                <w:color w:val="000000"/>
                <w:sz w:val="22"/>
                <w:szCs w:val="18"/>
                <w:lang w:val="en-US"/>
              </w:rPr>
              <w:t xml:space="preserve">law’s property. The couple </w:t>
            </w:r>
            <w:r>
              <w:rPr>
                <w:rFonts w:ascii="Public Sans" w:hAnsi="Public Sans" w:cs="Tahoma"/>
                <w:color w:val="000000"/>
                <w:sz w:val="22"/>
                <w:szCs w:val="18"/>
                <w:lang w:val="en-US"/>
              </w:rPr>
              <w:t xml:space="preserve">were in the </w:t>
            </w:r>
            <w:r w:rsidRPr="00703BCB">
              <w:rPr>
                <w:rFonts w:ascii="Public Sans" w:hAnsi="Public Sans" w:cs="Tahoma"/>
                <w:color w:val="000000"/>
                <w:sz w:val="22"/>
                <w:szCs w:val="18"/>
                <w:lang w:val="en-US"/>
              </w:rPr>
              <w:t xml:space="preserve">early </w:t>
            </w:r>
            <w:r>
              <w:rPr>
                <w:rFonts w:ascii="Public Sans" w:hAnsi="Public Sans" w:cs="Tahoma"/>
                <w:color w:val="000000"/>
                <w:sz w:val="22"/>
                <w:szCs w:val="18"/>
                <w:lang w:val="en-US"/>
              </w:rPr>
              <w:t xml:space="preserve">stages of </w:t>
            </w:r>
            <w:r w:rsidRPr="00703BCB">
              <w:rPr>
                <w:rFonts w:ascii="Public Sans" w:hAnsi="Public Sans" w:cs="Tahoma"/>
                <w:color w:val="000000"/>
                <w:sz w:val="22"/>
                <w:szCs w:val="18"/>
                <w:lang w:val="en-US"/>
              </w:rPr>
              <w:t xml:space="preserve">dementia, and the older woman had mental health concerns. </w:t>
            </w:r>
          </w:p>
          <w:p w:rsidR="00317AD9" w:rsidRDefault="00317AD9" w:rsidP="00D64C66">
            <w:pPr>
              <w:autoSpaceDE w:val="0"/>
              <w:autoSpaceDN w:val="0"/>
              <w:adjustRightInd w:val="0"/>
              <w:rPr>
                <w:rFonts w:ascii="Public Sans" w:hAnsi="Public Sans" w:cs="Tahoma"/>
                <w:color w:val="000000"/>
                <w:sz w:val="22"/>
                <w:szCs w:val="18"/>
                <w:lang w:val="en-US"/>
              </w:rPr>
            </w:pPr>
          </w:p>
          <w:p w:rsidR="00317AD9" w:rsidRDefault="00317AD9" w:rsidP="00D64C66">
            <w:pPr>
              <w:autoSpaceDE w:val="0"/>
              <w:autoSpaceDN w:val="0"/>
              <w:adjustRightInd w:val="0"/>
              <w:rPr>
                <w:rFonts w:ascii="Public Sans" w:hAnsi="Public Sans" w:cs="Tahoma"/>
                <w:color w:val="000000"/>
                <w:sz w:val="22"/>
                <w:szCs w:val="18"/>
                <w:lang w:val="en-US"/>
              </w:rPr>
            </w:pPr>
            <w:r w:rsidRPr="00703BCB">
              <w:rPr>
                <w:rFonts w:ascii="Public Sans" w:hAnsi="Public Sans" w:cs="Tahoma"/>
                <w:color w:val="000000"/>
                <w:sz w:val="22"/>
                <w:szCs w:val="18"/>
                <w:lang w:val="en-US"/>
              </w:rPr>
              <w:t xml:space="preserve">The older couple verbally agreed to lend over $150,000 to their daughter to buy the home and build the granny flat; the loan to buy the house was also put in the older couple’s name. The report </w:t>
            </w:r>
            <w:r>
              <w:rPr>
                <w:rFonts w:ascii="Public Sans" w:hAnsi="Public Sans" w:cs="Tahoma"/>
                <w:color w:val="000000"/>
                <w:sz w:val="22"/>
                <w:szCs w:val="18"/>
                <w:lang w:val="en-US"/>
              </w:rPr>
              <w:t>raised concerns</w:t>
            </w:r>
            <w:r w:rsidRPr="00703BCB">
              <w:rPr>
                <w:rFonts w:ascii="Public Sans" w:hAnsi="Public Sans" w:cs="Tahoma"/>
                <w:color w:val="000000"/>
                <w:sz w:val="22"/>
                <w:szCs w:val="18"/>
                <w:lang w:val="en-US"/>
              </w:rPr>
              <w:t xml:space="preserve"> </w:t>
            </w:r>
            <w:r>
              <w:rPr>
                <w:rFonts w:ascii="Public Sans" w:hAnsi="Public Sans" w:cs="Tahoma"/>
                <w:color w:val="000000"/>
                <w:sz w:val="22"/>
                <w:szCs w:val="18"/>
                <w:lang w:val="en-US"/>
              </w:rPr>
              <w:t xml:space="preserve">that </w:t>
            </w:r>
            <w:r w:rsidRPr="00703BCB">
              <w:rPr>
                <w:rFonts w:ascii="Public Sans" w:hAnsi="Public Sans" w:cs="Tahoma"/>
                <w:color w:val="000000"/>
                <w:sz w:val="22"/>
                <w:szCs w:val="18"/>
                <w:lang w:val="en-US"/>
              </w:rPr>
              <w:t xml:space="preserve">the older woman was subject to psychological and physical abuse by her son-in-law, and </w:t>
            </w:r>
            <w:r>
              <w:rPr>
                <w:rFonts w:ascii="Public Sans" w:hAnsi="Public Sans" w:cs="Tahoma"/>
                <w:color w:val="000000"/>
                <w:sz w:val="22"/>
                <w:szCs w:val="18"/>
                <w:lang w:val="en-US"/>
              </w:rPr>
              <w:t xml:space="preserve">that </w:t>
            </w:r>
            <w:r w:rsidRPr="00703BCB">
              <w:rPr>
                <w:rFonts w:ascii="Public Sans" w:hAnsi="Public Sans" w:cs="Tahoma"/>
                <w:color w:val="000000"/>
                <w:sz w:val="22"/>
                <w:szCs w:val="18"/>
                <w:lang w:val="en-US"/>
              </w:rPr>
              <w:t xml:space="preserve">he was forcefully trying to evict the older woman while retaining </w:t>
            </w:r>
            <w:r w:rsidRPr="00E94DD5">
              <w:rPr>
                <w:rFonts w:ascii="Public Sans" w:hAnsi="Public Sans" w:cs="Tahoma"/>
                <w:color w:val="000000"/>
                <w:sz w:val="22"/>
                <w:szCs w:val="18"/>
                <w:lang w:val="en-US"/>
              </w:rPr>
              <w:t>the property.</w:t>
            </w:r>
            <w:r w:rsidRPr="00703BCB">
              <w:rPr>
                <w:rFonts w:ascii="Public Sans" w:hAnsi="Public Sans" w:cs="Tahoma"/>
                <w:color w:val="000000"/>
                <w:sz w:val="22"/>
                <w:szCs w:val="18"/>
                <w:lang w:val="en-US"/>
              </w:rPr>
              <w:t xml:space="preserve"> </w:t>
            </w:r>
          </w:p>
          <w:p w:rsidR="00317AD9" w:rsidRDefault="00317AD9" w:rsidP="00D64C66">
            <w:pPr>
              <w:autoSpaceDE w:val="0"/>
              <w:autoSpaceDN w:val="0"/>
              <w:adjustRightInd w:val="0"/>
              <w:rPr>
                <w:rFonts w:ascii="Public Sans" w:hAnsi="Public Sans" w:cs="Tahoma"/>
                <w:color w:val="000000"/>
                <w:sz w:val="22"/>
                <w:szCs w:val="18"/>
                <w:lang w:val="en-US"/>
              </w:rPr>
            </w:pPr>
          </w:p>
          <w:p w:rsidR="00317AD9" w:rsidRDefault="00317AD9" w:rsidP="00D64C66">
            <w:pPr>
              <w:autoSpaceDE w:val="0"/>
              <w:autoSpaceDN w:val="0"/>
              <w:adjustRightInd w:val="0"/>
              <w:rPr>
                <w:rFonts w:ascii="Public Sans" w:hAnsi="Public Sans" w:cs="Tahoma"/>
                <w:color w:val="000000"/>
                <w:sz w:val="22"/>
                <w:szCs w:val="18"/>
                <w:lang w:val="en-US"/>
              </w:rPr>
            </w:pPr>
            <w:r w:rsidRPr="00703BCB">
              <w:rPr>
                <w:rFonts w:ascii="Public Sans" w:hAnsi="Public Sans" w:cs="Tahoma"/>
                <w:color w:val="000000"/>
                <w:sz w:val="22"/>
                <w:szCs w:val="18"/>
                <w:lang w:val="en-US"/>
              </w:rPr>
              <w:t xml:space="preserve">Due to the lack of legal protections in the financial arrangements made with the daughter and son-in-law and limited </w:t>
            </w:r>
            <w:r>
              <w:rPr>
                <w:rFonts w:ascii="Public Sans" w:hAnsi="Public Sans" w:cs="Tahoma"/>
                <w:color w:val="000000"/>
                <w:sz w:val="22"/>
                <w:szCs w:val="18"/>
                <w:lang w:val="en-US"/>
              </w:rPr>
              <w:t xml:space="preserve">available alternative </w:t>
            </w:r>
            <w:r w:rsidRPr="00703BCB">
              <w:rPr>
                <w:rFonts w:ascii="Public Sans" w:hAnsi="Public Sans" w:cs="Tahoma"/>
                <w:color w:val="000000"/>
                <w:sz w:val="22"/>
                <w:szCs w:val="18"/>
                <w:lang w:val="en-US"/>
              </w:rPr>
              <w:t>housing options, the older couple had no financial security or housing and w</w:t>
            </w:r>
            <w:r>
              <w:rPr>
                <w:rFonts w:ascii="Public Sans" w:hAnsi="Public Sans" w:cs="Tahoma"/>
                <w:color w:val="000000"/>
                <w:sz w:val="22"/>
                <w:szCs w:val="18"/>
                <w:lang w:val="en-US"/>
              </w:rPr>
              <w:t>as</w:t>
            </w:r>
            <w:r w:rsidRPr="00703BCB">
              <w:rPr>
                <w:rFonts w:ascii="Public Sans" w:hAnsi="Public Sans" w:cs="Tahoma"/>
                <w:color w:val="000000"/>
                <w:sz w:val="22"/>
                <w:szCs w:val="18"/>
                <w:lang w:val="en-US"/>
              </w:rPr>
              <w:t xml:space="preserve"> at risk of homelessness. </w:t>
            </w:r>
          </w:p>
          <w:p w:rsidR="00317AD9" w:rsidRDefault="00317AD9" w:rsidP="00D64C66">
            <w:pPr>
              <w:autoSpaceDE w:val="0"/>
              <w:autoSpaceDN w:val="0"/>
              <w:adjustRightInd w:val="0"/>
              <w:rPr>
                <w:rFonts w:ascii="Public Sans" w:hAnsi="Public Sans" w:cs="Tahoma"/>
                <w:color w:val="000000"/>
                <w:sz w:val="22"/>
                <w:szCs w:val="18"/>
                <w:lang w:val="en-US"/>
              </w:rPr>
            </w:pPr>
          </w:p>
          <w:p w:rsidR="00317AD9" w:rsidRDefault="00317AD9" w:rsidP="00D64C66">
            <w:pPr>
              <w:autoSpaceDE w:val="0"/>
              <w:autoSpaceDN w:val="0"/>
              <w:adjustRightInd w:val="0"/>
              <w:spacing w:after="120"/>
              <w:rPr>
                <w:rFonts w:ascii="Public Sans" w:hAnsi="Public Sans" w:cs="Tahoma"/>
                <w:i/>
                <w:color w:val="000000"/>
                <w:sz w:val="22"/>
                <w:szCs w:val="18"/>
                <w:lang w:val="en-US"/>
              </w:rPr>
            </w:pPr>
            <w:r w:rsidRPr="00454539">
              <w:rPr>
                <w:rFonts w:ascii="Public Sans" w:hAnsi="Public Sans" w:cs="Tahoma"/>
                <w:color w:val="000000"/>
                <w:sz w:val="22"/>
                <w:szCs w:val="18"/>
                <w:lang w:val="en-US"/>
              </w:rPr>
              <w:t>The ADC supported the couple to link to legal assistance, the local Aged Crime Prevention Officer, mental health supports</w:t>
            </w:r>
            <w:r>
              <w:rPr>
                <w:rFonts w:ascii="Public Sans" w:hAnsi="Public Sans" w:cs="Tahoma"/>
                <w:color w:val="000000"/>
                <w:sz w:val="22"/>
                <w:szCs w:val="18"/>
                <w:lang w:val="en-US"/>
              </w:rPr>
              <w:t>,</w:t>
            </w:r>
            <w:r w:rsidRPr="00454539">
              <w:rPr>
                <w:rFonts w:ascii="Public Sans" w:hAnsi="Public Sans" w:cs="Tahoma"/>
                <w:color w:val="000000"/>
                <w:sz w:val="22"/>
                <w:szCs w:val="18"/>
                <w:lang w:val="en-US"/>
              </w:rPr>
              <w:t xml:space="preserve"> and accommodation.</w:t>
            </w:r>
            <w:r w:rsidRPr="00703BCB">
              <w:rPr>
                <w:rFonts w:ascii="Public Sans" w:hAnsi="Public Sans" w:cs="Tahoma"/>
                <w:color w:val="000000"/>
                <w:sz w:val="22"/>
                <w:szCs w:val="18"/>
                <w:lang w:val="en-US"/>
              </w:rPr>
              <w:t xml:space="preserve"> </w:t>
            </w:r>
          </w:p>
        </w:tc>
      </w:tr>
    </w:tbl>
    <w:p w:rsidR="00317AD9" w:rsidRDefault="00317AD9" w:rsidP="00317AD9">
      <w:pPr>
        <w:pStyle w:val="Heading2"/>
        <w:spacing w:before="0" w:after="0"/>
        <w:rPr>
          <w:rFonts w:ascii="Public Sans" w:hAnsi="Public Sans"/>
          <w:b/>
          <w:color w:val="002060"/>
        </w:rPr>
      </w:pPr>
    </w:p>
    <w:p w:rsidR="00317AD9" w:rsidRPr="001F3DB4" w:rsidRDefault="00317AD9" w:rsidP="00317AD9">
      <w:pPr>
        <w:pStyle w:val="Heading2"/>
        <w:spacing w:before="0" w:after="0"/>
        <w:rPr>
          <w:rFonts w:ascii="Public Sans" w:hAnsi="Public Sans"/>
          <w:b/>
          <w:color w:val="002060"/>
        </w:rPr>
      </w:pPr>
      <w:r>
        <w:rPr>
          <w:rFonts w:ascii="Public Sans" w:hAnsi="Public Sans"/>
          <w:b/>
          <w:color w:val="002060"/>
        </w:rPr>
        <w:t>Access to</w:t>
      </w:r>
      <w:r w:rsidRPr="001F3DB4">
        <w:rPr>
          <w:rFonts w:ascii="Public Sans" w:hAnsi="Public Sans"/>
          <w:b/>
          <w:color w:val="002060"/>
        </w:rPr>
        <w:t xml:space="preserve"> </w:t>
      </w:r>
      <w:r>
        <w:rPr>
          <w:rFonts w:ascii="Public Sans" w:hAnsi="Public Sans"/>
          <w:b/>
          <w:color w:val="002060"/>
        </w:rPr>
        <w:t xml:space="preserve">accommodation </w:t>
      </w:r>
      <w:r w:rsidRPr="001F3DB4">
        <w:rPr>
          <w:rFonts w:ascii="Public Sans" w:hAnsi="Public Sans"/>
          <w:b/>
          <w:color w:val="002060"/>
        </w:rPr>
        <w:t xml:space="preserve"> </w:t>
      </w:r>
    </w:p>
    <w:p w:rsidR="00317AD9" w:rsidRPr="003109EA" w:rsidRDefault="00317AD9" w:rsidP="00317AD9">
      <w:pPr>
        <w:pStyle w:val="BodyText"/>
        <w:spacing w:after="0" w:line="240" w:lineRule="auto"/>
        <w:rPr>
          <w:rFonts w:ascii="Public Sans" w:hAnsi="Public Sans"/>
          <w:b/>
          <w:color w:val="002060"/>
          <w:sz w:val="24"/>
          <w:szCs w:val="32"/>
        </w:rPr>
      </w:pPr>
      <w:r w:rsidRPr="003109EA">
        <w:rPr>
          <w:rFonts w:ascii="Public Sans" w:hAnsi="Public Sans"/>
          <w:b/>
          <w:color w:val="002060"/>
          <w:sz w:val="24"/>
          <w:szCs w:val="32"/>
        </w:rPr>
        <w:t>Social housing</w:t>
      </w:r>
    </w:p>
    <w:p w:rsidR="00317AD9" w:rsidRDefault="00317AD9" w:rsidP="00317AD9">
      <w:pPr>
        <w:pStyle w:val="BodyText"/>
        <w:spacing w:after="0" w:line="240" w:lineRule="auto"/>
        <w:rPr>
          <w:rFonts w:ascii="Public Sans" w:hAnsi="Public Sans"/>
          <w:sz w:val="22"/>
          <w:szCs w:val="32"/>
        </w:rPr>
      </w:pPr>
      <w:r>
        <w:rPr>
          <w:rFonts w:ascii="Public Sans" w:hAnsi="Public Sans"/>
          <w:sz w:val="22"/>
          <w:szCs w:val="32"/>
        </w:rPr>
        <w:t>Older people face particular barriers in accessing housing support if they have an income or an asset such as owning a property, or have superannuation, because the eligibility criteria for social housing focuses on assisting:</w:t>
      </w:r>
    </w:p>
    <w:p w:rsidR="00317AD9" w:rsidRDefault="00317AD9" w:rsidP="00317AD9">
      <w:pPr>
        <w:pStyle w:val="BodyText"/>
        <w:numPr>
          <w:ilvl w:val="0"/>
          <w:numId w:val="29"/>
        </w:numPr>
        <w:spacing w:after="0" w:line="240" w:lineRule="auto"/>
        <w:ind w:left="777" w:hanging="357"/>
        <w:rPr>
          <w:rFonts w:ascii="Public Sans" w:hAnsi="Public Sans"/>
          <w:sz w:val="22"/>
          <w:szCs w:val="32"/>
        </w:rPr>
      </w:pPr>
      <w:r>
        <w:rPr>
          <w:rFonts w:ascii="Public Sans" w:hAnsi="Public Sans"/>
          <w:sz w:val="22"/>
          <w:szCs w:val="32"/>
        </w:rPr>
        <w:lastRenderedPageBreak/>
        <w:t xml:space="preserve">clients on low income who need support to help them live independently, and </w:t>
      </w:r>
    </w:p>
    <w:p w:rsidR="00317AD9" w:rsidRDefault="00317AD9" w:rsidP="00317AD9">
      <w:pPr>
        <w:pStyle w:val="BodyText"/>
        <w:numPr>
          <w:ilvl w:val="0"/>
          <w:numId w:val="29"/>
        </w:numPr>
        <w:spacing w:before="0" w:after="0" w:line="240" w:lineRule="auto"/>
        <w:rPr>
          <w:rFonts w:ascii="Public Sans" w:hAnsi="Public Sans"/>
          <w:sz w:val="22"/>
          <w:szCs w:val="32"/>
        </w:rPr>
      </w:pPr>
      <w:r>
        <w:rPr>
          <w:rFonts w:ascii="Public Sans" w:hAnsi="Public Sans"/>
          <w:sz w:val="22"/>
          <w:szCs w:val="32"/>
        </w:rPr>
        <w:t xml:space="preserve">clients on low income who have problems finding affordable housing in the private market that meets their needs.  </w:t>
      </w:r>
    </w:p>
    <w:p w:rsidR="00317AD9" w:rsidRDefault="00317AD9" w:rsidP="00317AD9">
      <w:pPr>
        <w:pStyle w:val="BodyText"/>
        <w:spacing w:before="0" w:after="0" w:line="240" w:lineRule="auto"/>
        <w:rPr>
          <w:rFonts w:ascii="Public Sans" w:hAnsi="Public Sans"/>
          <w:sz w:val="22"/>
          <w:szCs w:val="32"/>
        </w:rPr>
      </w:pPr>
    </w:p>
    <w:p w:rsidR="00317AD9" w:rsidRDefault="00317AD9" w:rsidP="00317AD9">
      <w:pPr>
        <w:pStyle w:val="BodyText"/>
        <w:spacing w:before="0" w:after="0" w:line="240" w:lineRule="auto"/>
        <w:rPr>
          <w:rFonts w:ascii="Public Sans" w:hAnsi="Public Sans"/>
          <w:sz w:val="22"/>
          <w:szCs w:val="32"/>
        </w:rPr>
      </w:pPr>
      <w:r>
        <w:rPr>
          <w:rFonts w:ascii="Public Sans" w:hAnsi="Public Sans"/>
          <w:sz w:val="22"/>
          <w:szCs w:val="32"/>
        </w:rPr>
        <w:t>Additionally, older people who have a cognitive disability and/or other disability face additional barriers to navigating social hou</w:t>
      </w:r>
      <w:r w:rsidRPr="00F6578F">
        <w:rPr>
          <w:rFonts w:ascii="Public Sans" w:hAnsi="Public Sans"/>
          <w:sz w:val="22"/>
          <w:szCs w:val="32"/>
        </w:rPr>
        <w:t>sing support</w:t>
      </w:r>
      <w:r>
        <w:rPr>
          <w:rFonts w:ascii="Public Sans" w:hAnsi="Public Sans"/>
          <w:sz w:val="22"/>
          <w:szCs w:val="32"/>
        </w:rPr>
        <w:t>s</w:t>
      </w:r>
      <w:r w:rsidRPr="00F6578F">
        <w:rPr>
          <w:rFonts w:ascii="Public Sans" w:hAnsi="Public Sans"/>
          <w:sz w:val="22"/>
          <w:szCs w:val="32"/>
        </w:rPr>
        <w:t xml:space="preserve"> and services.</w:t>
      </w:r>
      <w:r>
        <w:rPr>
          <w:rFonts w:ascii="Public Sans" w:hAnsi="Public Sans"/>
          <w:sz w:val="22"/>
          <w:szCs w:val="32"/>
        </w:rPr>
        <w:t xml:space="preserve"> </w:t>
      </w:r>
    </w:p>
    <w:p w:rsidR="00317AD9" w:rsidRDefault="00317AD9" w:rsidP="00317AD9">
      <w:pPr>
        <w:pStyle w:val="BodyText"/>
        <w:spacing w:before="0" w:after="0" w:line="240" w:lineRule="auto"/>
        <w:rPr>
          <w:rFonts w:ascii="Public Sans" w:hAnsi="Public Sans"/>
          <w:sz w:val="22"/>
          <w:szCs w:val="32"/>
        </w:rPr>
      </w:pPr>
    </w:p>
    <w:tbl>
      <w:tblPr>
        <w:tblStyle w:val="TableGrid"/>
        <w:tblW w:w="0" w:type="auto"/>
        <w:tblLook w:val="04A0" w:firstRow="1" w:lastRow="0" w:firstColumn="1" w:lastColumn="0" w:noHBand="0" w:noVBand="1"/>
      </w:tblPr>
      <w:tblGrid>
        <w:gridCol w:w="9288"/>
      </w:tblGrid>
      <w:tr w:rsidR="00317AD9" w:rsidTr="00D64C66">
        <w:tc>
          <w:tcPr>
            <w:tcW w:w="9288" w:type="dxa"/>
          </w:tcPr>
          <w:p w:rsidR="00317AD9" w:rsidRPr="00354F44" w:rsidRDefault="00317AD9" w:rsidP="00D64C66">
            <w:pPr>
              <w:spacing w:before="120"/>
              <w:rPr>
                <w:rFonts w:ascii="Public Sans" w:hAnsi="Public Sans"/>
                <w:sz w:val="22"/>
              </w:rPr>
            </w:pPr>
            <w:r w:rsidRPr="00354F44">
              <w:rPr>
                <w:rFonts w:ascii="Public Sans" w:hAnsi="Public Sans"/>
                <w:sz w:val="22"/>
              </w:rPr>
              <w:t xml:space="preserve">The ADC received a report about an older woman who was </w:t>
            </w:r>
            <w:r>
              <w:rPr>
                <w:rFonts w:ascii="Public Sans" w:hAnsi="Public Sans"/>
                <w:sz w:val="22"/>
              </w:rPr>
              <w:t>subject to</w:t>
            </w:r>
            <w:r w:rsidRPr="00354F44">
              <w:rPr>
                <w:rFonts w:ascii="Public Sans" w:hAnsi="Public Sans"/>
                <w:sz w:val="22"/>
              </w:rPr>
              <w:t xml:space="preserve"> financial and psychological abuse by her son. She was in hospital undergoing surgery when the </w:t>
            </w:r>
            <w:r>
              <w:rPr>
                <w:rFonts w:ascii="Public Sans" w:hAnsi="Public Sans"/>
                <w:sz w:val="22"/>
              </w:rPr>
              <w:t xml:space="preserve">hospital </w:t>
            </w:r>
            <w:r w:rsidRPr="00354F44">
              <w:rPr>
                <w:rFonts w:ascii="Public Sans" w:hAnsi="Public Sans"/>
                <w:sz w:val="22"/>
              </w:rPr>
              <w:t xml:space="preserve">social worker </w:t>
            </w:r>
            <w:r>
              <w:rPr>
                <w:rFonts w:ascii="Public Sans" w:hAnsi="Public Sans"/>
                <w:sz w:val="22"/>
              </w:rPr>
              <w:t xml:space="preserve">became </w:t>
            </w:r>
            <w:r w:rsidRPr="00354F44">
              <w:rPr>
                <w:rFonts w:ascii="Public Sans" w:hAnsi="Public Sans"/>
                <w:sz w:val="22"/>
              </w:rPr>
              <w:t xml:space="preserve">alerted to her housing issue. The older woman had purchased an investment property in her and her son’s names. She was unable to maintain the mortgage and needed to sell the property. However, her son was refusing to cooperate or mediate despite the matter being put forward to the courts. </w:t>
            </w:r>
          </w:p>
          <w:p w:rsidR="00317AD9" w:rsidRDefault="00317AD9" w:rsidP="00D64C66">
            <w:pPr>
              <w:pStyle w:val="BodyText"/>
              <w:spacing w:before="0" w:after="0" w:line="240" w:lineRule="auto"/>
              <w:rPr>
                <w:rFonts w:ascii="Public Sans" w:hAnsi="Public Sans"/>
                <w:sz w:val="22"/>
                <w:szCs w:val="32"/>
              </w:rPr>
            </w:pPr>
          </w:p>
          <w:p w:rsidR="00317AD9" w:rsidRDefault="00317AD9" w:rsidP="00B47C4F">
            <w:pPr>
              <w:spacing w:after="120"/>
              <w:rPr>
                <w:rFonts w:ascii="Public Sans" w:hAnsi="Public Sans"/>
                <w:sz w:val="22"/>
                <w:szCs w:val="32"/>
              </w:rPr>
            </w:pPr>
            <w:r w:rsidRPr="00354F44">
              <w:rPr>
                <w:rFonts w:ascii="Public Sans" w:hAnsi="Public Sans"/>
                <w:sz w:val="22"/>
              </w:rPr>
              <w:t xml:space="preserve">Due to the investment property, the older woman was unable to access social housing and was at risk of homelessness when discharged from hospital after surgery. </w:t>
            </w:r>
          </w:p>
        </w:tc>
      </w:tr>
    </w:tbl>
    <w:p w:rsidR="00317AD9" w:rsidRDefault="00317AD9" w:rsidP="00317AD9">
      <w:pPr>
        <w:pStyle w:val="BodyText"/>
        <w:spacing w:before="0" w:after="0" w:line="240" w:lineRule="auto"/>
        <w:rPr>
          <w:rFonts w:ascii="Public Sans" w:hAnsi="Public Sans"/>
          <w:sz w:val="22"/>
          <w:szCs w:val="32"/>
        </w:rPr>
      </w:pPr>
    </w:p>
    <w:p w:rsidR="00317AD9" w:rsidRDefault="00317AD9" w:rsidP="00317AD9">
      <w:pPr>
        <w:pStyle w:val="BodyText"/>
        <w:spacing w:before="0" w:after="0" w:line="240" w:lineRule="auto"/>
        <w:rPr>
          <w:rFonts w:ascii="Public Sans" w:hAnsi="Public Sans"/>
          <w:sz w:val="22"/>
          <w:szCs w:val="32"/>
        </w:rPr>
      </w:pPr>
      <w:r>
        <w:rPr>
          <w:rFonts w:ascii="Public Sans" w:hAnsi="Public Sans"/>
          <w:sz w:val="22"/>
          <w:szCs w:val="32"/>
        </w:rPr>
        <w:t xml:space="preserve">In our view, </w:t>
      </w:r>
      <w:r w:rsidRPr="00F6578F">
        <w:rPr>
          <w:rFonts w:ascii="Public Sans" w:hAnsi="Public Sans"/>
          <w:sz w:val="22"/>
          <w:szCs w:val="32"/>
        </w:rPr>
        <w:t>concessions need to be considered for older people, particularly older women, to access social housing when facing situations of financial vulnerability despite not meeting the housing eligibility criteria.</w:t>
      </w:r>
      <w:r>
        <w:rPr>
          <w:rFonts w:ascii="Public Sans" w:hAnsi="Public Sans"/>
          <w:sz w:val="22"/>
          <w:szCs w:val="32"/>
        </w:rPr>
        <w:t xml:space="preserve"> </w:t>
      </w:r>
    </w:p>
    <w:p w:rsidR="00317AD9" w:rsidRDefault="00317AD9" w:rsidP="00317AD9">
      <w:pPr>
        <w:pStyle w:val="BodyText"/>
        <w:spacing w:before="0" w:after="0" w:line="240" w:lineRule="auto"/>
        <w:rPr>
          <w:rFonts w:ascii="Public Sans" w:hAnsi="Public Sans"/>
          <w:sz w:val="22"/>
          <w:szCs w:val="32"/>
        </w:rPr>
      </w:pPr>
    </w:p>
    <w:p w:rsidR="00317AD9" w:rsidRPr="003109EA" w:rsidRDefault="00317AD9" w:rsidP="00317AD9">
      <w:pPr>
        <w:pStyle w:val="BodyText"/>
        <w:spacing w:before="0" w:after="0" w:line="240" w:lineRule="auto"/>
        <w:rPr>
          <w:rFonts w:ascii="Public Sans" w:hAnsi="Public Sans"/>
          <w:b/>
          <w:color w:val="002060"/>
          <w:sz w:val="24"/>
          <w:szCs w:val="32"/>
        </w:rPr>
      </w:pPr>
      <w:r w:rsidRPr="003109EA">
        <w:rPr>
          <w:rFonts w:ascii="Public Sans" w:hAnsi="Public Sans"/>
          <w:b/>
          <w:color w:val="002060"/>
          <w:sz w:val="24"/>
          <w:szCs w:val="32"/>
        </w:rPr>
        <w:t xml:space="preserve">Emergency </w:t>
      </w:r>
      <w:r>
        <w:rPr>
          <w:rFonts w:ascii="Public Sans" w:hAnsi="Public Sans"/>
          <w:b/>
          <w:color w:val="002060"/>
          <w:sz w:val="24"/>
          <w:szCs w:val="32"/>
        </w:rPr>
        <w:t xml:space="preserve">and crisis </w:t>
      </w:r>
      <w:r w:rsidRPr="003109EA">
        <w:rPr>
          <w:rFonts w:ascii="Public Sans" w:hAnsi="Public Sans"/>
          <w:b/>
          <w:color w:val="002060"/>
          <w:sz w:val="24"/>
          <w:szCs w:val="32"/>
        </w:rPr>
        <w:t>accommodation</w:t>
      </w:r>
    </w:p>
    <w:p w:rsidR="00317AD9" w:rsidRDefault="00317AD9" w:rsidP="00317AD9">
      <w:pPr>
        <w:pStyle w:val="BodyText"/>
        <w:spacing w:after="0" w:line="240" w:lineRule="auto"/>
        <w:rPr>
          <w:rFonts w:ascii="Public Sans" w:hAnsi="Public Sans"/>
          <w:sz w:val="22"/>
          <w:szCs w:val="32"/>
        </w:rPr>
      </w:pPr>
      <w:r w:rsidRPr="002E7B92">
        <w:rPr>
          <w:rFonts w:ascii="Public Sans" w:hAnsi="Public Sans"/>
          <w:sz w:val="22"/>
          <w:szCs w:val="32"/>
        </w:rPr>
        <w:t xml:space="preserve">The need to escape abuse </w:t>
      </w:r>
      <w:r>
        <w:rPr>
          <w:rFonts w:ascii="Public Sans" w:hAnsi="Public Sans"/>
          <w:sz w:val="22"/>
          <w:szCs w:val="32"/>
        </w:rPr>
        <w:t xml:space="preserve">heightens the risks for older people due to a lack of appropriate alternative accommodation options, including emergency or crisis accommodation. The ability of older people to access refuge and other urgent accommodation can be substantially curtailed by the limited accessible options – including for people with mobility or other physical limitations, and people with cognitive disability. </w:t>
      </w:r>
    </w:p>
    <w:p w:rsidR="00317AD9" w:rsidRDefault="00317AD9" w:rsidP="00317AD9">
      <w:pPr>
        <w:pStyle w:val="BodyText"/>
        <w:spacing w:before="0" w:after="0" w:line="240" w:lineRule="auto"/>
        <w:rPr>
          <w:rFonts w:ascii="Public Sans" w:hAnsi="Public Sans"/>
          <w:sz w:val="22"/>
          <w:szCs w:val="32"/>
        </w:rPr>
      </w:pPr>
    </w:p>
    <w:p w:rsidR="00317AD9" w:rsidRDefault="00317AD9" w:rsidP="00317AD9">
      <w:pPr>
        <w:pStyle w:val="BodyText"/>
        <w:spacing w:before="0" w:after="0" w:line="240" w:lineRule="auto"/>
        <w:rPr>
          <w:rFonts w:ascii="Public Sans" w:hAnsi="Public Sans"/>
          <w:sz w:val="22"/>
          <w:szCs w:val="32"/>
        </w:rPr>
      </w:pPr>
      <w:r>
        <w:rPr>
          <w:rFonts w:ascii="Public Sans" w:hAnsi="Public Sans"/>
          <w:sz w:val="22"/>
          <w:szCs w:val="32"/>
        </w:rPr>
        <w:t xml:space="preserve">The options that tend to be presented for older people are placements (short or long term) in residential aged care facilities. In the experience of the ADC, for many older people this is not a welcome option. We frequently hear from older people that they would rather be at home – notwithstanding the ongoing abuse – than enter residential aged care, including on a short-term basis. The very limited alternative options means that older people continue to be subject to abuse; and it presents significant challenges for the ADC and other parties in seeking to resolve the situation and improve the safety of the older person. </w:t>
      </w:r>
    </w:p>
    <w:p w:rsidR="00317AD9" w:rsidRPr="00396043" w:rsidRDefault="00317AD9" w:rsidP="00317AD9">
      <w:pPr>
        <w:pStyle w:val="BodyText"/>
        <w:spacing w:before="0" w:after="0" w:line="240" w:lineRule="auto"/>
        <w:rPr>
          <w:rFonts w:ascii="Public Sans" w:hAnsi="Public Sans"/>
          <w:sz w:val="22"/>
          <w:szCs w:val="32"/>
        </w:rPr>
      </w:pPr>
    </w:p>
    <w:p w:rsidR="00317AD9" w:rsidRPr="001F3DB4" w:rsidRDefault="00317AD9" w:rsidP="00317AD9">
      <w:pPr>
        <w:pStyle w:val="Heading2"/>
        <w:spacing w:before="0" w:after="0"/>
        <w:rPr>
          <w:rFonts w:ascii="Public Sans" w:hAnsi="Public Sans"/>
          <w:b/>
          <w:color w:val="002060"/>
        </w:rPr>
      </w:pPr>
      <w:r w:rsidRPr="001F3DB4">
        <w:rPr>
          <w:rFonts w:ascii="Public Sans" w:hAnsi="Public Sans"/>
          <w:b/>
          <w:color w:val="002060"/>
        </w:rPr>
        <w:t xml:space="preserve">Unsuitable housing conditions </w:t>
      </w:r>
    </w:p>
    <w:p w:rsidR="00317AD9" w:rsidRDefault="00317AD9" w:rsidP="00317AD9">
      <w:pPr>
        <w:pStyle w:val="BodyText"/>
        <w:spacing w:after="0" w:line="240" w:lineRule="auto"/>
        <w:rPr>
          <w:rFonts w:ascii="Public Sans" w:hAnsi="Public Sans"/>
          <w:sz w:val="22"/>
          <w:szCs w:val="32"/>
        </w:rPr>
      </w:pPr>
      <w:r w:rsidRPr="00423755">
        <w:rPr>
          <w:rFonts w:ascii="Public Sans" w:hAnsi="Public Sans"/>
          <w:sz w:val="22"/>
          <w:szCs w:val="32"/>
        </w:rPr>
        <w:t>Older people living in so</w:t>
      </w:r>
      <w:r>
        <w:rPr>
          <w:rFonts w:ascii="Public Sans" w:hAnsi="Public Sans"/>
          <w:sz w:val="22"/>
          <w:szCs w:val="32"/>
        </w:rPr>
        <w:t>cial housing have reported to the ADC that they are living in unsuitable and unsafe environments. While older people have been placed into social housing that is intended for tenants over the age of 55, a range of reports have noted that their living conditions were unsuitable and raised concerns that the older person was subject to abuse by their neighbours, including:</w:t>
      </w:r>
    </w:p>
    <w:p w:rsidR="00317AD9" w:rsidRDefault="00317AD9" w:rsidP="00317AD9">
      <w:pPr>
        <w:pStyle w:val="BodyText"/>
        <w:numPr>
          <w:ilvl w:val="0"/>
          <w:numId w:val="26"/>
        </w:numPr>
        <w:spacing w:after="0" w:line="240" w:lineRule="auto"/>
        <w:ind w:left="714" w:hanging="357"/>
        <w:rPr>
          <w:rFonts w:ascii="Public Sans" w:hAnsi="Public Sans"/>
          <w:sz w:val="22"/>
          <w:szCs w:val="32"/>
        </w:rPr>
      </w:pPr>
      <w:r>
        <w:rPr>
          <w:rFonts w:ascii="Public Sans" w:hAnsi="Public Sans"/>
          <w:sz w:val="22"/>
          <w:szCs w:val="32"/>
        </w:rPr>
        <w:t>verbal abuse, harassment and intimidation by neighbours and co-tenants</w:t>
      </w:r>
    </w:p>
    <w:p w:rsidR="00317AD9" w:rsidRDefault="00317AD9" w:rsidP="00317AD9">
      <w:pPr>
        <w:pStyle w:val="BodyText"/>
        <w:numPr>
          <w:ilvl w:val="0"/>
          <w:numId w:val="26"/>
        </w:numPr>
        <w:spacing w:before="0" w:after="0" w:line="240" w:lineRule="auto"/>
        <w:rPr>
          <w:rFonts w:ascii="Public Sans" w:hAnsi="Public Sans"/>
          <w:sz w:val="22"/>
          <w:szCs w:val="32"/>
        </w:rPr>
      </w:pPr>
      <w:r>
        <w:rPr>
          <w:rFonts w:ascii="Public Sans" w:hAnsi="Public Sans"/>
          <w:sz w:val="22"/>
          <w:szCs w:val="32"/>
        </w:rPr>
        <w:t xml:space="preserve">damage to the older person’s property and belongings </w:t>
      </w:r>
    </w:p>
    <w:p w:rsidR="00317AD9" w:rsidRDefault="00317AD9" w:rsidP="00317AD9">
      <w:pPr>
        <w:pStyle w:val="BodyText"/>
        <w:numPr>
          <w:ilvl w:val="0"/>
          <w:numId w:val="26"/>
        </w:numPr>
        <w:spacing w:before="0" w:after="0" w:line="240" w:lineRule="auto"/>
        <w:rPr>
          <w:rFonts w:ascii="Public Sans" w:hAnsi="Public Sans"/>
          <w:sz w:val="22"/>
          <w:szCs w:val="32"/>
        </w:rPr>
      </w:pPr>
      <w:r>
        <w:rPr>
          <w:rFonts w:ascii="Public Sans" w:hAnsi="Public Sans"/>
          <w:sz w:val="22"/>
          <w:szCs w:val="32"/>
        </w:rPr>
        <w:t xml:space="preserve">presence of alcohol and other drug abuse </w:t>
      </w:r>
    </w:p>
    <w:p w:rsidR="00317AD9" w:rsidRDefault="00317AD9" w:rsidP="00317AD9">
      <w:pPr>
        <w:pStyle w:val="BodyText"/>
        <w:numPr>
          <w:ilvl w:val="0"/>
          <w:numId w:val="26"/>
        </w:numPr>
        <w:spacing w:before="0" w:after="0" w:line="240" w:lineRule="auto"/>
        <w:rPr>
          <w:rFonts w:ascii="Public Sans" w:hAnsi="Public Sans"/>
          <w:sz w:val="22"/>
          <w:szCs w:val="32"/>
        </w:rPr>
      </w:pPr>
      <w:r>
        <w:rPr>
          <w:rFonts w:ascii="Public Sans" w:hAnsi="Public Sans"/>
          <w:sz w:val="22"/>
          <w:szCs w:val="32"/>
        </w:rPr>
        <w:t xml:space="preserve">anti-social behaviour.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Reports to the ADC have included complaints by older people about the poor condition of properties and the lack of maintenance to essential amenities, such as clean water and telecommunications to contact emergency services. For matters concerning community housing providers, there are limited avenues for seeking to resolve unliveable property conditions via complaints as they do not </w:t>
      </w:r>
      <w:r w:rsidR="00961C6A">
        <w:rPr>
          <w:rFonts w:ascii="Public Sans" w:hAnsi="Public Sans"/>
          <w:sz w:val="22"/>
        </w:rPr>
        <w:t xml:space="preserve">currently </w:t>
      </w:r>
      <w:r>
        <w:rPr>
          <w:rFonts w:ascii="Public Sans" w:hAnsi="Public Sans"/>
          <w:sz w:val="22"/>
        </w:rPr>
        <w:t xml:space="preserve">fall under the jurisdiction of the NSW </w:t>
      </w:r>
      <w:r w:rsidR="00961C6A">
        <w:rPr>
          <w:rFonts w:ascii="Public Sans" w:hAnsi="Public Sans"/>
          <w:sz w:val="22"/>
        </w:rPr>
        <w:lastRenderedPageBreak/>
        <w:t xml:space="preserve">Ombudsman. </w:t>
      </w:r>
      <w:r>
        <w:rPr>
          <w:rFonts w:ascii="Public Sans" w:hAnsi="Public Sans"/>
          <w:sz w:val="22"/>
        </w:rPr>
        <w:t>In our experience, there is a need to ensure that community housing residents have access to an effective independent external complaint</w:t>
      </w:r>
      <w:r w:rsidR="00961C6A">
        <w:rPr>
          <w:rFonts w:ascii="Public Sans" w:hAnsi="Public Sans"/>
          <w:sz w:val="22"/>
        </w:rPr>
        <w:t>-handling body</w:t>
      </w:r>
      <w:r>
        <w:rPr>
          <w:rFonts w:ascii="Public Sans" w:hAnsi="Public Sans"/>
          <w:sz w:val="22"/>
        </w:rPr>
        <w:t xml:space="preserve">. </w:t>
      </w:r>
    </w:p>
    <w:p w:rsidR="00317AD9" w:rsidRPr="00456F7A" w:rsidRDefault="00317AD9" w:rsidP="00317AD9">
      <w:pPr>
        <w:pStyle w:val="BodyText"/>
        <w:spacing w:before="0" w:after="0" w:line="240" w:lineRule="auto"/>
        <w:rPr>
          <w:rFonts w:ascii="Public Sans" w:hAnsi="Public Sans"/>
          <w:sz w:val="22"/>
        </w:rPr>
      </w:pPr>
    </w:p>
    <w:p w:rsidR="00317AD9" w:rsidRPr="001F3DB4" w:rsidRDefault="00317AD9" w:rsidP="00317AD9">
      <w:pPr>
        <w:pStyle w:val="Heading2"/>
        <w:spacing w:before="0" w:after="0"/>
        <w:rPr>
          <w:rFonts w:ascii="Public Sans" w:hAnsi="Public Sans"/>
          <w:b/>
          <w:color w:val="002060"/>
        </w:rPr>
      </w:pPr>
      <w:r w:rsidRPr="001F3DB4">
        <w:rPr>
          <w:rFonts w:ascii="Public Sans" w:hAnsi="Public Sans"/>
          <w:b/>
          <w:color w:val="002060"/>
        </w:rPr>
        <w:t xml:space="preserve">Eviction of older people from social housing properties  </w:t>
      </w:r>
    </w:p>
    <w:p w:rsidR="00317AD9" w:rsidRDefault="00317AD9" w:rsidP="00317AD9">
      <w:pPr>
        <w:pStyle w:val="BodyText"/>
        <w:spacing w:after="0" w:line="240" w:lineRule="auto"/>
        <w:rPr>
          <w:rFonts w:ascii="Public Sans" w:hAnsi="Public Sans"/>
          <w:sz w:val="22"/>
        </w:rPr>
      </w:pPr>
      <w:r>
        <w:rPr>
          <w:rFonts w:ascii="Public Sans" w:hAnsi="Public Sans"/>
          <w:sz w:val="22"/>
        </w:rPr>
        <w:t xml:space="preserve">Despite being connected to housing services, reports to the ADC have included older people being evicted from social housing properties </w:t>
      </w:r>
      <w:r w:rsidRPr="00EA68BD">
        <w:rPr>
          <w:rFonts w:ascii="Public Sans" w:hAnsi="Public Sans"/>
          <w:sz w:val="22"/>
        </w:rPr>
        <w:t>without adequate consultation</w:t>
      </w:r>
      <w:r>
        <w:rPr>
          <w:rFonts w:ascii="Public Sans" w:hAnsi="Public Sans"/>
          <w:sz w:val="22"/>
        </w:rPr>
        <w:t xml:space="preserve">. In these matters, the ADC has noted that the older person has tended not to have been provided the opportunity to seek support to understand their housing situation or locate alternative temporary accommodation. Actions by the ADC’s Helpline in relation to these matters tends to involve providing support to reporters by making referrals to tenancy advocacy services and connecting the person with emergency accommodation services.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Older people living in social housing with adult children who are unauthorised occupants also increases the older person’s risk of eviction and homelessness. The ADC has received reports involving adult children living with the older person and jeopardising their accommodation status due to antisocial behaviour; drug and alcohol abuse; hoarding or squalor; or blocking services in the home. A breach of the tenancy agreement is a common cause of older people being evicted from social housing properties.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However, the ADC has noted that agreements that result in eviction appear to be built on expectations that may require the older person to seek additional support to meet them, such as accepting services into the home. In such reports, there appears to be inadequate action taken by the housing provider to seek to identify the reasons as to why the older person may be refusing services and not upholding the tenancy agreement. In these situations, there is a need for housing providers to further consult with older tenants and connect them with specific services to support them to uphold their agreements and accept supports. </w:t>
      </w:r>
    </w:p>
    <w:p w:rsidR="00317AD9" w:rsidRDefault="00317AD9" w:rsidP="00317AD9">
      <w:pPr>
        <w:pStyle w:val="BodyText"/>
        <w:spacing w:before="0" w:after="0" w:line="240" w:lineRule="auto"/>
        <w:rPr>
          <w:rFonts w:ascii="Public Sans" w:hAnsi="Public Sans"/>
          <w:sz w:val="22"/>
        </w:rPr>
      </w:pPr>
    </w:p>
    <w:p w:rsidR="00317AD9" w:rsidRPr="001F3DB4" w:rsidRDefault="00317AD9" w:rsidP="00317AD9">
      <w:pPr>
        <w:pStyle w:val="Heading2"/>
        <w:spacing w:before="0" w:after="0"/>
        <w:rPr>
          <w:rFonts w:ascii="Public Sans" w:hAnsi="Public Sans"/>
          <w:b/>
          <w:color w:val="002060"/>
        </w:rPr>
      </w:pPr>
      <w:r w:rsidRPr="001F3DB4">
        <w:rPr>
          <w:rFonts w:ascii="Public Sans" w:hAnsi="Public Sans"/>
          <w:b/>
          <w:color w:val="002060"/>
        </w:rPr>
        <w:t>Adult children living at home</w:t>
      </w:r>
    </w:p>
    <w:p w:rsidR="00317AD9" w:rsidRDefault="00317AD9" w:rsidP="00317AD9">
      <w:pPr>
        <w:pStyle w:val="BodyText"/>
        <w:spacing w:after="0" w:line="240" w:lineRule="auto"/>
        <w:rPr>
          <w:rFonts w:ascii="Public Sans" w:hAnsi="Public Sans"/>
          <w:sz w:val="22"/>
        </w:rPr>
      </w:pPr>
      <w:r>
        <w:rPr>
          <w:rFonts w:ascii="Public Sans" w:hAnsi="Public Sans"/>
          <w:sz w:val="22"/>
        </w:rPr>
        <w:t xml:space="preserve">The ADC has identified concerns about abuse and risk of homelessness of older people associated with their adult children (or other relatives) moving in with them and not leaving. In a range of reports, the family member moved in ‘temporarily’ for a certain period, triggered by factors such as the family member’s relationship breakdown, loss of job, release from gaol, return from living overseas, or health change. The family member was still living with the older person well beyond that time, sometimes years later.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In an examination of reports relating to these matters, we found that while the relationship between the older person and the family member may have worked for a period of time, this had changed and resulted in abuse of the older person – typically involving psychological and financial abuse. The impact on the older person tended to be significant – including exacerbation of health issues due to stress, worsening mental health, confining themselves to their bedroom, and significant fear of the family member.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In these cases, the older person has typically not been able to get the family member to leave their property – because the family member has refused to leave or the older person has not been willing or able to take adverse action against them to force them out (such as taking legal action or contacting police). In some of the reports to the ADC, the situation at home had become so untenable for the older person that they had opted to leave their property and move around between other family members. To avoid the abuse and improve their safety, they considered that their only legitimate option was to leave their own home in favour of insecure and unstable accommodation with others.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The ADC is supportive of current steps by Legal Aid and the Law Society of NSW to explore potential options that would assist older people to remove abusive family </w:t>
      </w:r>
      <w:r>
        <w:rPr>
          <w:rFonts w:ascii="Public Sans" w:hAnsi="Public Sans"/>
          <w:sz w:val="22"/>
        </w:rPr>
        <w:lastRenderedPageBreak/>
        <w:t xml:space="preserve">members from their property, and has provided data and other information to inform this work. </w:t>
      </w:r>
    </w:p>
    <w:p w:rsidR="00317AD9" w:rsidRDefault="00317AD9" w:rsidP="00317AD9">
      <w:pPr>
        <w:pStyle w:val="BodyText"/>
        <w:spacing w:before="0" w:after="0" w:line="240" w:lineRule="auto"/>
        <w:rPr>
          <w:rFonts w:ascii="Public Sans" w:hAnsi="Public Sans"/>
          <w:sz w:val="22"/>
        </w:rPr>
      </w:pPr>
    </w:p>
    <w:p w:rsidR="00317AD9" w:rsidRPr="001F3DB4" w:rsidRDefault="00317AD9" w:rsidP="00317AD9">
      <w:pPr>
        <w:pStyle w:val="Heading2"/>
        <w:spacing w:before="0" w:after="0"/>
        <w:rPr>
          <w:rFonts w:ascii="Public Sans" w:hAnsi="Public Sans"/>
          <w:b/>
          <w:color w:val="002060"/>
        </w:rPr>
      </w:pPr>
      <w:r>
        <w:rPr>
          <w:rFonts w:ascii="Public Sans" w:hAnsi="Public Sans"/>
          <w:b/>
          <w:color w:val="002060"/>
        </w:rPr>
        <w:t>Mental health support</w:t>
      </w:r>
      <w:r w:rsidRPr="001F3DB4">
        <w:rPr>
          <w:rFonts w:ascii="Public Sans" w:hAnsi="Public Sans"/>
          <w:b/>
          <w:color w:val="002060"/>
        </w:rPr>
        <w:t xml:space="preserve"> </w:t>
      </w:r>
    </w:p>
    <w:p w:rsidR="00317AD9" w:rsidRDefault="00317AD9" w:rsidP="00317AD9">
      <w:pPr>
        <w:pStyle w:val="BodyText"/>
        <w:spacing w:before="0" w:after="0" w:line="240" w:lineRule="auto"/>
        <w:rPr>
          <w:rFonts w:ascii="Public Sans" w:hAnsi="Public Sans"/>
          <w:sz w:val="22"/>
        </w:rPr>
      </w:pPr>
    </w:p>
    <w:p w:rsidR="00317AD9" w:rsidRPr="00B83516" w:rsidRDefault="00317AD9" w:rsidP="00317AD9">
      <w:pPr>
        <w:pStyle w:val="Heading4"/>
        <w:spacing w:before="0" w:after="0"/>
        <w:rPr>
          <w:rFonts w:ascii="Public Sans" w:hAnsi="Public Sans"/>
          <w:b/>
        </w:rPr>
      </w:pPr>
      <w:r w:rsidRPr="00B83516">
        <w:rPr>
          <w:rFonts w:ascii="Public Sans" w:hAnsi="Public Sans"/>
          <w:b/>
        </w:rPr>
        <w:t>Older people</w:t>
      </w:r>
    </w:p>
    <w:p w:rsidR="00317AD9" w:rsidRDefault="00317AD9" w:rsidP="00317AD9">
      <w:pPr>
        <w:pStyle w:val="BodyText"/>
        <w:spacing w:after="0" w:line="240" w:lineRule="auto"/>
        <w:rPr>
          <w:rFonts w:ascii="Public Sans" w:hAnsi="Public Sans"/>
          <w:sz w:val="22"/>
        </w:rPr>
      </w:pPr>
      <w:r>
        <w:rPr>
          <w:rFonts w:ascii="Public Sans" w:hAnsi="Public Sans"/>
          <w:sz w:val="22"/>
        </w:rPr>
        <w:t>Mental health concerns in relation to older people have been a factor in a range of reports to the ADC involving the risk of homelessness. In particular, behaviours in relation to hoarding and squalor increase the risk of eviction from both private and social housing, and prevent access to necessary in-home services and supports. In many instances, we have noted that older people with hoarding and squalor tendencies have been unable to uphold their housing agreements because the agreements required them to maintain their home in a certain condition.</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The ADC has noted the need for earlier and more reliable access to mental health supports for relevant older people, to improve outcomes, including options to maintain their tenancy. Early intervention and engagement with mental health services could enable the older person to access support and avoid eviction. We have noted the positive role played by Older People’s Mental Health Services when engaged with older people. However, it has not always been possible to gain timely or sufficient access to these services. </w:t>
      </w:r>
    </w:p>
    <w:p w:rsidR="00317AD9" w:rsidRDefault="00317AD9" w:rsidP="00317AD9">
      <w:pPr>
        <w:pStyle w:val="BodyText"/>
        <w:spacing w:before="0" w:after="0" w:line="240" w:lineRule="auto"/>
        <w:rPr>
          <w:rFonts w:ascii="Public Sans" w:hAnsi="Public Sans"/>
          <w:sz w:val="22"/>
        </w:rPr>
      </w:pPr>
    </w:p>
    <w:p w:rsidR="00317AD9" w:rsidRPr="00B83516" w:rsidRDefault="00317AD9" w:rsidP="00317AD9">
      <w:pPr>
        <w:pStyle w:val="Heading2"/>
        <w:spacing w:before="0" w:after="0"/>
        <w:rPr>
          <w:rFonts w:ascii="Public Sans" w:hAnsi="Public Sans"/>
          <w:b/>
          <w:color w:val="002060"/>
          <w:sz w:val="24"/>
        </w:rPr>
      </w:pPr>
      <w:r w:rsidRPr="00B83516">
        <w:rPr>
          <w:rFonts w:ascii="Public Sans" w:hAnsi="Public Sans"/>
          <w:b/>
          <w:color w:val="002060"/>
          <w:sz w:val="24"/>
        </w:rPr>
        <w:t xml:space="preserve">Family and informal carers </w:t>
      </w:r>
    </w:p>
    <w:p w:rsidR="00317AD9" w:rsidRDefault="00317AD9" w:rsidP="00317AD9">
      <w:pPr>
        <w:pStyle w:val="BodyText"/>
        <w:spacing w:after="0" w:line="240" w:lineRule="auto"/>
        <w:rPr>
          <w:rFonts w:ascii="Public Sans" w:hAnsi="Public Sans"/>
          <w:sz w:val="22"/>
        </w:rPr>
      </w:pPr>
      <w:r>
        <w:rPr>
          <w:rFonts w:ascii="Public Sans" w:hAnsi="Public Sans"/>
          <w:sz w:val="22"/>
        </w:rPr>
        <w:t xml:space="preserve">The unmet mental health needs of family/household members and informal carers also tend to increase the risk of homelessness of older people in reports to the ADC.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We have noted an increase in adult children living with their older parent(s) – particularly since the start of the COVID-19 pandemic, with adult children moving in with parents to provide care and support, or because they lost their employment and/or accommodation. The close quarters and interdependent relationships can put the older people at greater risk of being adversely affected by the unmet mental health needs of the additional household members. </w:t>
      </w:r>
    </w:p>
    <w:p w:rsidR="00317AD9" w:rsidRDefault="00317AD9" w:rsidP="00317AD9">
      <w:pPr>
        <w:pStyle w:val="BodyText"/>
        <w:spacing w:before="0" w:after="0" w:line="240" w:lineRule="auto"/>
        <w:rPr>
          <w:rFonts w:ascii="Public Sans" w:hAnsi="Public Sans"/>
          <w:sz w:val="22"/>
        </w:rPr>
      </w:pPr>
    </w:p>
    <w:tbl>
      <w:tblPr>
        <w:tblStyle w:val="TableGrid"/>
        <w:tblW w:w="0" w:type="auto"/>
        <w:tblLook w:val="04A0" w:firstRow="1" w:lastRow="0" w:firstColumn="1" w:lastColumn="0" w:noHBand="0" w:noVBand="1"/>
      </w:tblPr>
      <w:tblGrid>
        <w:gridCol w:w="9288"/>
      </w:tblGrid>
      <w:tr w:rsidR="00317AD9" w:rsidTr="00D64C66">
        <w:tc>
          <w:tcPr>
            <w:tcW w:w="9288" w:type="dxa"/>
          </w:tcPr>
          <w:p w:rsidR="00317AD9" w:rsidRDefault="00317AD9" w:rsidP="00D64C66">
            <w:pPr>
              <w:pStyle w:val="BodyText"/>
              <w:spacing w:after="0" w:line="240" w:lineRule="auto"/>
              <w:rPr>
                <w:rFonts w:ascii="Public Sans" w:hAnsi="Public Sans"/>
                <w:sz w:val="22"/>
              </w:rPr>
            </w:pPr>
            <w:r w:rsidRPr="00736A8B">
              <w:rPr>
                <w:rFonts w:ascii="Public Sans" w:hAnsi="Public Sans"/>
                <w:sz w:val="22"/>
              </w:rPr>
              <w:t xml:space="preserve">The ADC received a report about an older woman with advanced dementia </w:t>
            </w:r>
            <w:r>
              <w:rPr>
                <w:rFonts w:ascii="Public Sans" w:hAnsi="Public Sans"/>
                <w:sz w:val="22"/>
              </w:rPr>
              <w:t xml:space="preserve">who was </w:t>
            </w:r>
            <w:r w:rsidRPr="00736A8B">
              <w:rPr>
                <w:rFonts w:ascii="Public Sans" w:hAnsi="Public Sans"/>
                <w:sz w:val="22"/>
              </w:rPr>
              <w:t xml:space="preserve">living with her son. Both had recently become homeless and were living in a motel. The older woman had been subject to financial abuse by her son, who had spent the majority of </w:t>
            </w:r>
            <w:r>
              <w:rPr>
                <w:rFonts w:ascii="Public Sans" w:hAnsi="Public Sans"/>
                <w:sz w:val="22"/>
              </w:rPr>
              <w:t xml:space="preserve">the </w:t>
            </w:r>
            <w:r w:rsidRPr="00736A8B">
              <w:rPr>
                <w:rFonts w:ascii="Public Sans" w:hAnsi="Public Sans"/>
                <w:sz w:val="22"/>
              </w:rPr>
              <w:t xml:space="preserve">earnings from the sale of the older woman’s home. </w:t>
            </w:r>
          </w:p>
          <w:p w:rsidR="00317AD9" w:rsidRDefault="00317AD9" w:rsidP="00D64C66">
            <w:pPr>
              <w:pStyle w:val="BodyText"/>
              <w:spacing w:before="0" w:after="0" w:line="240" w:lineRule="auto"/>
              <w:rPr>
                <w:rFonts w:ascii="Public Sans" w:hAnsi="Public Sans"/>
                <w:sz w:val="22"/>
              </w:rPr>
            </w:pPr>
          </w:p>
          <w:p w:rsidR="00317AD9" w:rsidRDefault="00317AD9" w:rsidP="00D64C66">
            <w:pPr>
              <w:pStyle w:val="BodyText"/>
              <w:spacing w:before="0" w:after="0" w:line="240" w:lineRule="auto"/>
              <w:rPr>
                <w:rFonts w:ascii="Public Sans" w:hAnsi="Public Sans"/>
                <w:sz w:val="22"/>
              </w:rPr>
            </w:pPr>
            <w:r w:rsidRPr="00736A8B">
              <w:rPr>
                <w:rFonts w:ascii="Public Sans" w:hAnsi="Public Sans"/>
                <w:sz w:val="22"/>
              </w:rPr>
              <w:t>The older woman and her son were offered assistance with emergency accommodation</w:t>
            </w:r>
            <w:r>
              <w:rPr>
                <w:rFonts w:ascii="Public Sans" w:hAnsi="Public Sans"/>
                <w:sz w:val="22"/>
              </w:rPr>
              <w:t>;</w:t>
            </w:r>
            <w:r w:rsidRPr="00736A8B">
              <w:rPr>
                <w:rFonts w:ascii="Public Sans" w:hAnsi="Public Sans"/>
                <w:sz w:val="22"/>
              </w:rPr>
              <w:t xml:space="preserve"> however</w:t>
            </w:r>
            <w:r>
              <w:rPr>
                <w:rFonts w:ascii="Public Sans" w:hAnsi="Public Sans"/>
                <w:sz w:val="22"/>
              </w:rPr>
              <w:t>,</w:t>
            </w:r>
            <w:r w:rsidRPr="00736A8B">
              <w:rPr>
                <w:rFonts w:ascii="Public Sans" w:hAnsi="Public Sans"/>
                <w:sz w:val="22"/>
              </w:rPr>
              <w:t xml:space="preserve"> the son was unreliable with submitting </w:t>
            </w:r>
            <w:r>
              <w:rPr>
                <w:rFonts w:ascii="Public Sans" w:hAnsi="Public Sans"/>
                <w:sz w:val="22"/>
              </w:rPr>
              <w:t xml:space="preserve">the </w:t>
            </w:r>
            <w:r w:rsidRPr="00736A8B">
              <w:rPr>
                <w:rFonts w:ascii="Public Sans" w:hAnsi="Public Sans"/>
                <w:sz w:val="22"/>
              </w:rPr>
              <w:t xml:space="preserve">requested documents. Both were eventually placed into several different short-term accommodation services, but the son began to refuse any </w:t>
            </w:r>
            <w:r>
              <w:rPr>
                <w:rFonts w:ascii="Public Sans" w:hAnsi="Public Sans"/>
                <w:sz w:val="22"/>
              </w:rPr>
              <w:t xml:space="preserve">further </w:t>
            </w:r>
            <w:r w:rsidRPr="00736A8B">
              <w:rPr>
                <w:rFonts w:ascii="Public Sans" w:hAnsi="Public Sans"/>
                <w:sz w:val="22"/>
              </w:rPr>
              <w:t xml:space="preserve">assistance. </w:t>
            </w:r>
          </w:p>
          <w:p w:rsidR="00317AD9" w:rsidRDefault="00317AD9" w:rsidP="00D64C66">
            <w:pPr>
              <w:pStyle w:val="BodyText"/>
              <w:spacing w:before="0" w:after="0" w:line="240" w:lineRule="auto"/>
              <w:rPr>
                <w:rFonts w:ascii="Public Sans" w:hAnsi="Public Sans"/>
                <w:sz w:val="22"/>
              </w:rPr>
            </w:pPr>
          </w:p>
          <w:p w:rsidR="00317AD9" w:rsidRDefault="00317AD9" w:rsidP="00B14AE9">
            <w:pPr>
              <w:pStyle w:val="BodyText"/>
              <w:spacing w:before="0" w:line="240" w:lineRule="auto"/>
              <w:rPr>
                <w:rFonts w:ascii="Public Sans" w:hAnsi="Public Sans"/>
                <w:sz w:val="22"/>
              </w:rPr>
            </w:pPr>
            <w:r w:rsidRPr="00736A8B">
              <w:rPr>
                <w:rFonts w:ascii="Public Sans" w:hAnsi="Public Sans"/>
                <w:sz w:val="22"/>
              </w:rPr>
              <w:t xml:space="preserve">The son was admitted to hospital, diagnosed with schizophrenia and linked to mental health and housing support services. </w:t>
            </w:r>
            <w:r>
              <w:rPr>
                <w:rFonts w:ascii="Public Sans" w:hAnsi="Public Sans"/>
                <w:sz w:val="22"/>
              </w:rPr>
              <w:t xml:space="preserve">The </w:t>
            </w:r>
            <w:r w:rsidRPr="00736A8B">
              <w:rPr>
                <w:rFonts w:ascii="Public Sans" w:hAnsi="Public Sans"/>
                <w:sz w:val="22"/>
              </w:rPr>
              <w:t xml:space="preserve">ADC supported an NCAT application for guardianship and financial management of the older </w:t>
            </w:r>
            <w:r w:rsidRPr="00BA0DF5">
              <w:rPr>
                <w:rFonts w:ascii="Public Sans" w:hAnsi="Public Sans"/>
                <w:sz w:val="22"/>
              </w:rPr>
              <w:t>woman to be changed</w:t>
            </w:r>
            <w:r w:rsidRPr="00736A8B">
              <w:rPr>
                <w:rFonts w:ascii="Public Sans" w:hAnsi="Public Sans"/>
                <w:sz w:val="22"/>
              </w:rPr>
              <w:t xml:space="preserve"> </w:t>
            </w:r>
            <w:r w:rsidR="00B14AE9">
              <w:rPr>
                <w:rFonts w:ascii="Public Sans" w:hAnsi="Public Sans"/>
                <w:sz w:val="22"/>
              </w:rPr>
              <w:t xml:space="preserve">to her daughter, </w:t>
            </w:r>
            <w:r w:rsidRPr="00736A8B">
              <w:rPr>
                <w:rFonts w:ascii="Public Sans" w:hAnsi="Public Sans"/>
                <w:sz w:val="22"/>
              </w:rPr>
              <w:t xml:space="preserve">and </w:t>
            </w:r>
            <w:r w:rsidR="00B14AE9">
              <w:rPr>
                <w:rFonts w:ascii="Public Sans" w:hAnsi="Public Sans"/>
                <w:sz w:val="22"/>
              </w:rPr>
              <w:t>the older woman and her son</w:t>
            </w:r>
            <w:r w:rsidRPr="00736A8B">
              <w:rPr>
                <w:rFonts w:ascii="Public Sans" w:hAnsi="Public Sans"/>
                <w:sz w:val="22"/>
              </w:rPr>
              <w:t xml:space="preserve"> were </w:t>
            </w:r>
            <w:r>
              <w:rPr>
                <w:rFonts w:ascii="Public Sans" w:hAnsi="Public Sans"/>
                <w:sz w:val="22"/>
              </w:rPr>
              <w:t>s</w:t>
            </w:r>
            <w:r w:rsidR="00B14AE9">
              <w:rPr>
                <w:rFonts w:ascii="Public Sans" w:hAnsi="Public Sans"/>
                <w:sz w:val="22"/>
              </w:rPr>
              <w:t>eparately</w:t>
            </w:r>
            <w:r>
              <w:rPr>
                <w:rFonts w:ascii="Public Sans" w:hAnsi="Public Sans"/>
                <w:sz w:val="22"/>
              </w:rPr>
              <w:t xml:space="preserve"> successfully</w:t>
            </w:r>
            <w:r w:rsidR="00B14AE9">
              <w:rPr>
                <w:rFonts w:ascii="Public Sans" w:hAnsi="Public Sans"/>
                <w:sz w:val="22"/>
              </w:rPr>
              <w:t xml:space="preserve"> linked to</w:t>
            </w:r>
            <w:r w:rsidRPr="00736A8B">
              <w:rPr>
                <w:rFonts w:ascii="Public Sans" w:hAnsi="Public Sans"/>
                <w:sz w:val="22"/>
              </w:rPr>
              <w:t xml:space="preserve"> s</w:t>
            </w:r>
            <w:r w:rsidR="00B14AE9">
              <w:rPr>
                <w:rFonts w:ascii="Public Sans" w:hAnsi="Public Sans"/>
                <w:sz w:val="22"/>
              </w:rPr>
              <w:t>table</w:t>
            </w:r>
            <w:r w:rsidRPr="00736A8B">
              <w:rPr>
                <w:rFonts w:ascii="Public Sans" w:hAnsi="Public Sans"/>
                <w:sz w:val="22"/>
              </w:rPr>
              <w:t xml:space="preserve"> accommodation. </w:t>
            </w:r>
          </w:p>
        </w:tc>
      </w:tr>
    </w:tbl>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The ADC has tended to improve the safety and outcomes of the older person in these cases by working to improve the supports for the family member/informal carer – including access to mental health support. We have noted significant changes and positive outcomes for both parties – and improved relationships – where adequate and timely </w:t>
      </w:r>
      <w:r>
        <w:rPr>
          <w:rFonts w:ascii="Public Sans" w:hAnsi="Public Sans"/>
          <w:sz w:val="22"/>
        </w:rPr>
        <w:lastRenderedPageBreak/>
        <w:t xml:space="preserve">mental health support has been provided. However, access to mental health services tends to be difficult, and the amount and duration of support is typically insufficient. </w:t>
      </w:r>
    </w:p>
    <w:p w:rsidR="00317AD9" w:rsidRDefault="00317AD9" w:rsidP="00317AD9">
      <w:pPr>
        <w:pStyle w:val="BodyText"/>
        <w:spacing w:before="0" w:after="0" w:line="240" w:lineRule="auto"/>
        <w:rPr>
          <w:rFonts w:ascii="Public Sans" w:hAnsi="Public Sans"/>
          <w:sz w:val="22"/>
        </w:rPr>
      </w:pPr>
    </w:p>
    <w:p w:rsidR="00317AD9" w:rsidRPr="007C6D9F" w:rsidRDefault="00317AD9" w:rsidP="00317AD9">
      <w:pPr>
        <w:pStyle w:val="Heading2"/>
        <w:numPr>
          <w:ilvl w:val="0"/>
          <w:numId w:val="30"/>
        </w:numPr>
        <w:spacing w:before="0" w:after="0"/>
        <w:ind w:left="426" w:hanging="426"/>
        <w:rPr>
          <w:rFonts w:ascii="Public Sans" w:hAnsi="Public Sans"/>
          <w:b/>
          <w:color w:val="002060"/>
          <w:sz w:val="32"/>
        </w:rPr>
      </w:pPr>
      <w:r w:rsidRPr="007C6D9F">
        <w:rPr>
          <w:rFonts w:ascii="Public Sans" w:hAnsi="Public Sans"/>
          <w:b/>
          <w:color w:val="002060"/>
          <w:sz w:val="32"/>
        </w:rPr>
        <w:t>Additional considerations</w:t>
      </w:r>
    </w:p>
    <w:p w:rsidR="00317AD9" w:rsidRPr="007C6D9F" w:rsidRDefault="00317AD9" w:rsidP="00317AD9">
      <w:pPr>
        <w:pStyle w:val="Heading2"/>
        <w:spacing w:before="0" w:after="0"/>
        <w:rPr>
          <w:rFonts w:ascii="Public Sans" w:hAnsi="Public Sans"/>
          <w:b/>
          <w:color w:val="002060"/>
          <w:sz w:val="22"/>
        </w:rPr>
      </w:pPr>
    </w:p>
    <w:p w:rsidR="00317AD9" w:rsidRPr="001F3DB4" w:rsidRDefault="00317AD9" w:rsidP="00317AD9">
      <w:pPr>
        <w:pStyle w:val="Heading2"/>
        <w:spacing w:before="0" w:after="0"/>
        <w:rPr>
          <w:rFonts w:ascii="Public Sans" w:hAnsi="Public Sans"/>
          <w:b/>
          <w:color w:val="002060"/>
        </w:rPr>
      </w:pPr>
      <w:r w:rsidRPr="001F3DB4">
        <w:rPr>
          <w:rFonts w:ascii="Public Sans" w:hAnsi="Public Sans"/>
          <w:b/>
          <w:color w:val="002060"/>
        </w:rPr>
        <w:t xml:space="preserve">Risk factors of older people from vulnerable groups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Housing and income support requires the navigation of multiple government interfaces. The ADC has noted the significant challenges faced by older people from migrant and non-English speaking backgrounds in seeking to find and obtain the right support for secure housing.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There are particular gaps for those on certain visas who are unable to access income support through Centrelink and are ineligible for many crisis accommodation services. Additionally, there are extended wait times for specialist legal services to support those on </w:t>
      </w:r>
      <w:r w:rsidRPr="00961FEE">
        <w:rPr>
          <w:rFonts w:ascii="Public Sans" w:hAnsi="Public Sans"/>
          <w:sz w:val="22"/>
        </w:rPr>
        <w:t>certain</w:t>
      </w:r>
      <w:r>
        <w:rPr>
          <w:rFonts w:ascii="Public Sans" w:hAnsi="Public Sans"/>
          <w:sz w:val="22"/>
        </w:rPr>
        <w:t xml:space="preserve"> visas, placing them at greater risk of homelessness and with limited options to leave abusive situations in the home. </w:t>
      </w:r>
    </w:p>
    <w:p w:rsidR="00317AD9" w:rsidRDefault="00317AD9" w:rsidP="00317AD9">
      <w:pPr>
        <w:pStyle w:val="BodyText"/>
        <w:spacing w:before="0" w:after="0" w:line="240" w:lineRule="auto"/>
        <w:rPr>
          <w:rFonts w:ascii="Public Sans" w:hAnsi="Public Sans"/>
          <w:sz w:val="22"/>
        </w:rPr>
      </w:pPr>
    </w:p>
    <w:tbl>
      <w:tblPr>
        <w:tblStyle w:val="TableGrid"/>
        <w:tblW w:w="0" w:type="auto"/>
        <w:tblLook w:val="04A0" w:firstRow="1" w:lastRow="0" w:firstColumn="1" w:lastColumn="0" w:noHBand="0" w:noVBand="1"/>
      </w:tblPr>
      <w:tblGrid>
        <w:gridCol w:w="9288"/>
      </w:tblGrid>
      <w:tr w:rsidR="00317AD9" w:rsidTr="00D64C66">
        <w:tc>
          <w:tcPr>
            <w:tcW w:w="9288" w:type="dxa"/>
          </w:tcPr>
          <w:p w:rsidR="00317AD9" w:rsidRDefault="00317AD9" w:rsidP="00D64C66">
            <w:pPr>
              <w:pStyle w:val="BodyText"/>
              <w:spacing w:after="0" w:line="240" w:lineRule="auto"/>
              <w:rPr>
                <w:rFonts w:ascii="Public Sans" w:hAnsi="Public Sans"/>
                <w:sz w:val="22"/>
              </w:rPr>
            </w:pPr>
            <w:r w:rsidRPr="00EF7875">
              <w:rPr>
                <w:rFonts w:ascii="Public Sans" w:hAnsi="Public Sans"/>
                <w:sz w:val="22"/>
              </w:rPr>
              <w:t xml:space="preserve">The ADC received a report </w:t>
            </w:r>
            <w:r>
              <w:rPr>
                <w:rFonts w:ascii="Public Sans" w:hAnsi="Public Sans"/>
                <w:sz w:val="22"/>
              </w:rPr>
              <w:t xml:space="preserve">about </w:t>
            </w:r>
            <w:r w:rsidRPr="00EF7875">
              <w:rPr>
                <w:rFonts w:ascii="Public Sans" w:hAnsi="Public Sans"/>
                <w:sz w:val="22"/>
              </w:rPr>
              <w:t xml:space="preserve">an older woman who was at risk of homelessness </w:t>
            </w:r>
            <w:r>
              <w:rPr>
                <w:rFonts w:ascii="Public Sans" w:hAnsi="Public Sans"/>
                <w:sz w:val="22"/>
              </w:rPr>
              <w:t>as she</w:t>
            </w:r>
            <w:r w:rsidRPr="00EF7875">
              <w:rPr>
                <w:rFonts w:ascii="Public Sans" w:hAnsi="Public Sans"/>
                <w:sz w:val="22"/>
              </w:rPr>
              <w:t xml:space="preserve"> need</w:t>
            </w:r>
            <w:r>
              <w:rPr>
                <w:rFonts w:ascii="Public Sans" w:hAnsi="Public Sans"/>
                <w:sz w:val="22"/>
              </w:rPr>
              <w:t>ed</w:t>
            </w:r>
            <w:r w:rsidRPr="00EF7875">
              <w:rPr>
                <w:rFonts w:ascii="Public Sans" w:hAnsi="Public Sans"/>
                <w:sz w:val="22"/>
              </w:rPr>
              <w:t xml:space="preserve"> to leave her living situation</w:t>
            </w:r>
            <w:r>
              <w:rPr>
                <w:rFonts w:ascii="Public Sans" w:hAnsi="Public Sans"/>
                <w:sz w:val="22"/>
              </w:rPr>
              <w:t xml:space="preserve"> due to</w:t>
            </w:r>
            <w:r w:rsidRPr="00EF7875">
              <w:rPr>
                <w:rFonts w:ascii="Public Sans" w:hAnsi="Public Sans"/>
                <w:sz w:val="22"/>
              </w:rPr>
              <w:t xml:space="preserve"> </w:t>
            </w:r>
            <w:r>
              <w:rPr>
                <w:rFonts w:ascii="Public Sans" w:hAnsi="Public Sans"/>
                <w:sz w:val="22"/>
              </w:rPr>
              <w:t xml:space="preserve">ongoing </w:t>
            </w:r>
            <w:r w:rsidRPr="00EF7875">
              <w:rPr>
                <w:rFonts w:ascii="Public Sans" w:hAnsi="Public Sans"/>
                <w:sz w:val="22"/>
              </w:rPr>
              <w:t xml:space="preserve">abuse from her adult </w:t>
            </w:r>
            <w:r>
              <w:rPr>
                <w:rFonts w:ascii="Public Sans" w:hAnsi="Public Sans"/>
                <w:sz w:val="22"/>
              </w:rPr>
              <w:t>child</w:t>
            </w:r>
            <w:r w:rsidRPr="00EF7875">
              <w:rPr>
                <w:rFonts w:ascii="Public Sans" w:hAnsi="Public Sans"/>
                <w:sz w:val="22"/>
              </w:rPr>
              <w:t xml:space="preserve"> who she lived with in exchange for domestic duties. </w:t>
            </w:r>
            <w:r>
              <w:rPr>
                <w:rFonts w:ascii="Public Sans" w:hAnsi="Public Sans"/>
                <w:sz w:val="22"/>
              </w:rPr>
              <w:t xml:space="preserve">The older woman had no access to her own money, did not speak English, and was completely reliant on her adult child for all support. </w:t>
            </w:r>
          </w:p>
          <w:p w:rsidR="00317AD9" w:rsidRDefault="00317AD9" w:rsidP="00D64C66">
            <w:pPr>
              <w:pStyle w:val="BodyText"/>
              <w:spacing w:before="0" w:after="0" w:line="240" w:lineRule="auto"/>
              <w:rPr>
                <w:rFonts w:ascii="Public Sans" w:hAnsi="Public Sans"/>
                <w:sz w:val="22"/>
              </w:rPr>
            </w:pPr>
          </w:p>
          <w:p w:rsidR="00317AD9" w:rsidRDefault="00317AD9" w:rsidP="00D64C66">
            <w:pPr>
              <w:pStyle w:val="BodyText"/>
              <w:spacing w:before="0" w:line="240" w:lineRule="auto"/>
              <w:rPr>
                <w:rFonts w:ascii="Public Sans" w:hAnsi="Public Sans"/>
                <w:sz w:val="22"/>
              </w:rPr>
            </w:pPr>
            <w:r w:rsidRPr="00EF7875">
              <w:rPr>
                <w:rFonts w:ascii="Public Sans" w:hAnsi="Public Sans"/>
                <w:sz w:val="22"/>
              </w:rPr>
              <w:t>The older woman was a permanent resident but</w:t>
            </w:r>
            <w:r>
              <w:rPr>
                <w:rFonts w:ascii="Public Sans" w:hAnsi="Public Sans"/>
                <w:sz w:val="22"/>
              </w:rPr>
              <w:t>,</w:t>
            </w:r>
            <w:r w:rsidRPr="00EF7875">
              <w:rPr>
                <w:rFonts w:ascii="Public Sans" w:hAnsi="Public Sans"/>
                <w:sz w:val="22"/>
              </w:rPr>
              <w:t xml:space="preserve"> due to being on a Contributory</w:t>
            </w:r>
            <w:r>
              <w:rPr>
                <w:rFonts w:ascii="Public Sans" w:hAnsi="Public Sans"/>
                <w:sz w:val="22"/>
              </w:rPr>
              <w:t xml:space="preserve"> Aged</w:t>
            </w:r>
            <w:r w:rsidRPr="00EF7875">
              <w:rPr>
                <w:rFonts w:ascii="Public Sans" w:hAnsi="Public Sans"/>
                <w:sz w:val="22"/>
              </w:rPr>
              <w:t xml:space="preserve"> Parent </w:t>
            </w:r>
            <w:r>
              <w:rPr>
                <w:rFonts w:ascii="Public Sans" w:hAnsi="Public Sans"/>
                <w:sz w:val="22"/>
              </w:rPr>
              <w:t>temporary v</w:t>
            </w:r>
            <w:r w:rsidRPr="00EF7875">
              <w:rPr>
                <w:rFonts w:ascii="Public Sans" w:hAnsi="Public Sans"/>
                <w:sz w:val="22"/>
              </w:rPr>
              <w:t xml:space="preserve">isa, she was ineligible for income support from Centrelink. </w:t>
            </w:r>
            <w:r>
              <w:rPr>
                <w:rFonts w:ascii="Public Sans" w:hAnsi="Public Sans"/>
                <w:sz w:val="22"/>
              </w:rPr>
              <w:t xml:space="preserve">As a result of </w:t>
            </w:r>
            <w:r w:rsidRPr="00EF7875">
              <w:rPr>
                <w:rFonts w:ascii="Public Sans" w:hAnsi="Public Sans"/>
                <w:sz w:val="22"/>
              </w:rPr>
              <w:t xml:space="preserve">her lack of income support, the older woman was ineligible for assistance </w:t>
            </w:r>
            <w:r>
              <w:rPr>
                <w:rFonts w:ascii="Public Sans" w:hAnsi="Public Sans"/>
                <w:sz w:val="22"/>
              </w:rPr>
              <w:t>from</w:t>
            </w:r>
            <w:r w:rsidRPr="00EF7875">
              <w:rPr>
                <w:rFonts w:ascii="Public Sans" w:hAnsi="Public Sans"/>
                <w:sz w:val="22"/>
              </w:rPr>
              <w:t xml:space="preserve"> local women’s refuges or emergency accommodation services. </w:t>
            </w:r>
          </w:p>
        </w:tc>
      </w:tr>
    </w:tbl>
    <w:p w:rsidR="00317AD9" w:rsidRDefault="00317AD9" w:rsidP="00317AD9">
      <w:pPr>
        <w:pStyle w:val="BodyText"/>
        <w:spacing w:before="0" w:after="0" w:line="240" w:lineRule="auto"/>
        <w:rPr>
          <w:rFonts w:ascii="Public Sans" w:hAnsi="Public Sans"/>
          <w:sz w:val="22"/>
        </w:rPr>
      </w:pPr>
    </w:p>
    <w:p w:rsidR="00317AD9" w:rsidRPr="009D788B" w:rsidRDefault="00317AD9" w:rsidP="00317AD9">
      <w:pPr>
        <w:pStyle w:val="BodyText"/>
        <w:numPr>
          <w:ilvl w:val="0"/>
          <w:numId w:val="30"/>
        </w:numPr>
        <w:spacing w:before="0" w:after="0" w:line="240" w:lineRule="auto"/>
        <w:ind w:left="426" w:hanging="426"/>
        <w:rPr>
          <w:rFonts w:ascii="Public Sans" w:hAnsi="Public Sans"/>
          <w:b/>
          <w:sz w:val="32"/>
        </w:rPr>
      </w:pPr>
      <w:r w:rsidRPr="009D788B">
        <w:rPr>
          <w:rFonts w:ascii="Public Sans" w:hAnsi="Public Sans"/>
          <w:b/>
          <w:color w:val="002060"/>
          <w:sz w:val="32"/>
        </w:rPr>
        <w:t>Prevention and early intervention options</w:t>
      </w:r>
    </w:p>
    <w:p w:rsidR="00317AD9" w:rsidRPr="00EF3E3A" w:rsidRDefault="00317AD9" w:rsidP="00317AD9">
      <w:pPr>
        <w:pStyle w:val="BodyText"/>
        <w:spacing w:before="0" w:after="0" w:line="240" w:lineRule="auto"/>
        <w:ind w:left="720"/>
        <w:rPr>
          <w:rFonts w:ascii="Public Sans" w:hAnsi="Public Sans"/>
          <w:i/>
          <w:sz w:val="22"/>
        </w:rPr>
      </w:pPr>
    </w:p>
    <w:p w:rsidR="00317AD9" w:rsidRDefault="00317AD9" w:rsidP="00317AD9">
      <w:pPr>
        <w:pStyle w:val="Heading2"/>
        <w:spacing w:before="0" w:after="0"/>
        <w:rPr>
          <w:rFonts w:ascii="Public Sans" w:hAnsi="Public Sans"/>
          <w:color w:val="auto"/>
          <w:sz w:val="22"/>
        </w:rPr>
      </w:pPr>
      <w:r>
        <w:rPr>
          <w:rFonts w:ascii="Public Sans" w:hAnsi="Public Sans"/>
          <w:color w:val="auto"/>
          <w:sz w:val="22"/>
        </w:rPr>
        <w:t>The ADC’s</w:t>
      </w:r>
      <w:r w:rsidRPr="009D788B">
        <w:rPr>
          <w:rFonts w:ascii="Public Sans" w:hAnsi="Public Sans"/>
          <w:color w:val="auto"/>
          <w:sz w:val="22"/>
        </w:rPr>
        <w:t xml:space="preserve"> work with </w:t>
      </w:r>
      <w:r>
        <w:rPr>
          <w:rFonts w:ascii="Public Sans" w:hAnsi="Public Sans"/>
          <w:color w:val="auto"/>
          <w:sz w:val="22"/>
        </w:rPr>
        <w:t>older people who are subject to, or at risk of, abuse, neglect and exploitation, and who are homeless/at risk of homelessness, has highlighted particular areas for action. As identified in the body of our submission, this includes the need for:</w:t>
      </w:r>
    </w:p>
    <w:p w:rsidR="00317AD9" w:rsidRDefault="00317AD9" w:rsidP="00317AD9">
      <w:pPr>
        <w:pStyle w:val="BodyText"/>
        <w:numPr>
          <w:ilvl w:val="0"/>
          <w:numId w:val="38"/>
        </w:numPr>
        <w:spacing w:after="0" w:line="240" w:lineRule="auto"/>
        <w:ind w:left="714" w:hanging="357"/>
        <w:rPr>
          <w:rFonts w:ascii="Public Sans" w:hAnsi="Public Sans"/>
          <w:sz w:val="22"/>
        </w:rPr>
      </w:pPr>
      <w:r>
        <w:rPr>
          <w:rFonts w:ascii="Public Sans" w:hAnsi="Public Sans"/>
          <w:sz w:val="22"/>
        </w:rPr>
        <w:t>increased community mental health services</w:t>
      </w:r>
    </w:p>
    <w:p w:rsidR="00317AD9" w:rsidRDefault="00317AD9" w:rsidP="00317AD9">
      <w:pPr>
        <w:pStyle w:val="BodyText"/>
        <w:numPr>
          <w:ilvl w:val="0"/>
          <w:numId w:val="38"/>
        </w:numPr>
        <w:spacing w:before="60" w:after="0" w:line="240" w:lineRule="auto"/>
        <w:ind w:left="714" w:hanging="357"/>
        <w:rPr>
          <w:rFonts w:ascii="Public Sans" w:hAnsi="Public Sans"/>
          <w:sz w:val="22"/>
        </w:rPr>
      </w:pPr>
      <w:r>
        <w:rPr>
          <w:rFonts w:ascii="Public Sans" w:hAnsi="Public Sans"/>
          <w:sz w:val="22"/>
        </w:rPr>
        <w:t>options to assist older people to remove abusive adult children and other family members from their home</w:t>
      </w:r>
    </w:p>
    <w:p w:rsidR="00317AD9" w:rsidRDefault="00317AD9" w:rsidP="00317AD9">
      <w:pPr>
        <w:pStyle w:val="BodyText"/>
        <w:numPr>
          <w:ilvl w:val="0"/>
          <w:numId w:val="38"/>
        </w:numPr>
        <w:spacing w:before="60" w:after="0" w:line="240" w:lineRule="auto"/>
        <w:ind w:left="714" w:hanging="357"/>
        <w:rPr>
          <w:rFonts w:ascii="Public Sans" w:hAnsi="Public Sans"/>
          <w:sz w:val="22"/>
        </w:rPr>
      </w:pPr>
      <w:r>
        <w:rPr>
          <w:rFonts w:ascii="Public Sans" w:hAnsi="Public Sans"/>
          <w:sz w:val="22"/>
        </w:rPr>
        <w:t xml:space="preserve">additional safeguards for older people prior to housing providers taking action to evict them – such as links to advocacy or other support services </w:t>
      </w:r>
    </w:p>
    <w:p w:rsidR="00317AD9" w:rsidRDefault="00317AD9" w:rsidP="00317AD9">
      <w:pPr>
        <w:pStyle w:val="BodyText"/>
        <w:numPr>
          <w:ilvl w:val="0"/>
          <w:numId w:val="38"/>
        </w:numPr>
        <w:spacing w:before="60" w:after="0" w:line="240" w:lineRule="auto"/>
        <w:ind w:left="714" w:hanging="357"/>
        <w:rPr>
          <w:rFonts w:ascii="Public Sans" w:hAnsi="Public Sans"/>
          <w:sz w:val="22"/>
        </w:rPr>
      </w:pPr>
      <w:r>
        <w:rPr>
          <w:rFonts w:ascii="Public Sans" w:hAnsi="Public Sans"/>
          <w:sz w:val="22"/>
        </w:rPr>
        <w:t>providing independent complaint-handling options in relation to community housing providers – such as bringing them under the jurisdiction of the NSW Ombudsman</w:t>
      </w:r>
    </w:p>
    <w:p w:rsidR="00317AD9" w:rsidRDefault="00317AD9" w:rsidP="00317AD9">
      <w:pPr>
        <w:pStyle w:val="BodyText"/>
        <w:numPr>
          <w:ilvl w:val="0"/>
          <w:numId w:val="38"/>
        </w:numPr>
        <w:spacing w:before="60" w:after="0" w:line="240" w:lineRule="auto"/>
        <w:ind w:left="714" w:hanging="357"/>
        <w:rPr>
          <w:rFonts w:ascii="Public Sans" w:hAnsi="Public Sans"/>
          <w:sz w:val="22"/>
        </w:rPr>
      </w:pPr>
      <w:r>
        <w:rPr>
          <w:rFonts w:ascii="Public Sans" w:hAnsi="Public Sans"/>
          <w:sz w:val="22"/>
        </w:rPr>
        <w:t>mandatory provision of clear information to older people and their prospective attorneys about the obligations and responsibilities of attorneys</w:t>
      </w:r>
    </w:p>
    <w:p w:rsidR="00317AD9" w:rsidRDefault="00317AD9" w:rsidP="00317AD9">
      <w:pPr>
        <w:pStyle w:val="BodyText"/>
        <w:numPr>
          <w:ilvl w:val="0"/>
          <w:numId w:val="38"/>
        </w:numPr>
        <w:spacing w:before="60" w:after="0" w:line="240" w:lineRule="auto"/>
        <w:ind w:left="714" w:hanging="357"/>
        <w:rPr>
          <w:rFonts w:ascii="Public Sans" w:hAnsi="Public Sans"/>
          <w:sz w:val="22"/>
        </w:rPr>
      </w:pPr>
      <w:r>
        <w:rPr>
          <w:rFonts w:ascii="Public Sans" w:hAnsi="Public Sans"/>
          <w:sz w:val="22"/>
        </w:rPr>
        <w:t xml:space="preserve">provision of information in multiple formats and languages for older people so they are aware of their obligations if entering into any legal or financial agreement.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In our experience, there is also a need for actions in the following areas:</w:t>
      </w:r>
    </w:p>
    <w:p w:rsidR="00317AD9" w:rsidRDefault="00317AD9" w:rsidP="00317AD9">
      <w:pPr>
        <w:pStyle w:val="BodyText"/>
        <w:spacing w:before="0" w:after="0" w:line="240" w:lineRule="auto"/>
        <w:rPr>
          <w:rFonts w:ascii="Public Sans" w:hAnsi="Public Sans"/>
          <w:sz w:val="22"/>
        </w:rPr>
      </w:pPr>
    </w:p>
    <w:p w:rsidR="00317AD9" w:rsidRPr="009277BE" w:rsidRDefault="00317AD9" w:rsidP="00317AD9">
      <w:pPr>
        <w:pStyle w:val="BodyText"/>
        <w:spacing w:before="0"/>
        <w:rPr>
          <w:rFonts w:ascii="Public Sans" w:hAnsi="Public Sans"/>
          <w:b/>
          <w:color w:val="002060"/>
          <w:sz w:val="28"/>
        </w:rPr>
      </w:pPr>
      <w:r w:rsidRPr="009277BE">
        <w:rPr>
          <w:rFonts w:ascii="Public Sans" w:hAnsi="Public Sans"/>
          <w:b/>
          <w:color w:val="002060"/>
          <w:sz w:val="28"/>
        </w:rPr>
        <w:t>Relationship support and mediation</w:t>
      </w:r>
    </w:p>
    <w:p w:rsidR="00317AD9" w:rsidRDefault="00317AD9" w:rsidP="00317AD9">
      <w:pPr>
        <w:widowControl w:val="0"/>
        <w:rPr>
          <w:rFonts w:ascii="Public Sans" w:eastAsia="Times New Roman" w:hAnsi="Public Sans" w:cs="Arial"/>
          <w:sz w:val="22"/>
        </w:rPr>
      </w:pPr>
      <w:r>
        <w:rPr>
          <w:rFonts w:ascii="Public Sans" w:eastAsia="Times New Roman" w:hAnsi="Public Sans" w:cs="Arial"/>
          <w:sz w:val="22"/>
        </w:rPr>
        <w:t xml:space="preserve">The issues raised in this submission reflect the significance of family relationships </w:t>
      </w:r>
      <w:r w:rsidRPr="00993F6B">
        <w:rPr>
          <w:rFonts w:ascii="Public Sans" w:eastAsia="Times New Roman" w:hAnsi="Public Sans" w:cs="Arial"/>
          <w:sz w:val="22"/>
        </w:rPr>
        <w:t>in the abuse of older people</w:t>
      </w:r>
      <w:r>
        <w:rPr>
          <w:rFonts w:ascii="Public Sans" w:eastAsia="Times New Roman" w:hAnsi="Public Sans" w:cs="Arial"/>
          <w:sz w:val="22"/>
        </w:rPr>
        <w:t xml:space="preserve"> and their risk of homelessness</w:t>
      </w:r>
      <w:r w:rsidRPr="00993F6B">
        <w:rPr>
          <w:rFonts w:ascii="Public Sans" w:eastAsia="Times New Roman" w:hAnsi="Public Sans" w:cs="Arial"/>
          <w:sz w:val="22"/>
        </w:rPr>
        <w:t xml:space="preserve">. A key plank in the public policy </w:t>
      </w:r>
      <w:r w:rsidRPr="00993F6B">
        <w:rPr>
          <w:rFonts w:ascii="Public Sans" w:eastAsia="Times New Roman" w:hAnsi="Public Sans" w:cs="Arial"/>
          <w:sz w:val="22"/>
        </w:rPr>
        <w:lastRenderedPageBreak/>
        <w:t xml:space="preserve">framework to better safeguard and support older people from abuse rests on family and relationship support and intervention – including options that seek to address the breakdown of positive norms and behaviours that lead to abuse. </w:t>
      </w:r>
    </w:p>
    <w:p w:rsidR="00317AD9" w:rsidRDefault="00317AD9" w:rsidP="00317AD9">
      <w:pPr>
        <w:widowControl w:val="0"/>
        <w:rPr>
          <w:rFonts w:ascii="Public Sans" w:eastAsia="Times New Roman" w:hAnsi="Public Sans" w:cs="Arial"/>
          <w:sz w:val="22"/>
        </w:rPr>
      </w:pPr>
    </w:p>
    <w:p w:rsidR="00317AD9" w:rsidRPr="00976BDA" w:rsidRDefault="00317AD9" w:rsidP="00317AD9">
      <w:pPr>
        <w:widowControl w:val="0"/>
        <w:rPr>
          <w:rFonts w:ascii="Public Sans" w:eastAsia="Times New Roman" w:hAnsi="Public Sans" w:cs="Arial"/>
          <w:sz w:val="22"/>
        </w:rPr>
      </w:pPr>
      <w:r w:rsidRPr="00976BDA">
        <w:rPr>
          <w:rFonts w:ascii="Public Sans" w:eastAsia="Times New Roman" w:hAnsi="Public Sans" w:cs="Arial"/>
          <w:sz w:val="22"/>
        </w:rPr>
        <w:t>Since April 2020, the ADC has had a Memorandum of Understanding with R</w:t>
      </w:r>
      <w:r>
        <w:rPr>
          <w:rFonts w:ascii="Public Sans" w:eastAsia="Times New Roman" w:hAnsi="Public Sans" w:cs="Arial"/>
          <w:sz w:val="22"/>
        </w:rPr>
        <w:t xml:space="preserve">elationships </w:t>
      </w:r>
      <w:r w:rsidRPr="00976BDA">
        <w:rPr>
          <w:rFonts w:ascii="Public Sans" w:eastAsia="Times New Roman" w:hAnsi="Public Sans" w:cs="Arial"/>
          <w:sz w:val="22"/>
        </w:rPr>
        <w:t>A</w:t>
      </w:r>
      <w:r>
        <w:rPr>
          <w:rFonts w:ascii="Public Sans" w:eastAsia="Times New Roman" w:hAnsi="Public Sans" w:cs="Arial"/>
          <w:sz w:val="22"/>
        </w:rPr>
        <w:t xml:space="preserve">ustralia </w:t>
      </w:r>
      <w:r w:rsidRPr="00976BDA">
        <w:rPr>
          <w:rFonts w:ascii="Public Sans" w:eastAsia="Times New Roman" w:hAnsi="Public Sans" w:cs="Arial"/>
          <w:sz w:val="22"/>
        </w:rPr>
        <w:t xml:space="preserve">NSW </w:t>
      </w:r>
      <w:r>
        <w:rPr>
          <w:rFonts w:ascii="Public Sans" w:eastAsia="Times New Roman" w:hAnsi="Public Sans" w:cs="Arial"/>
          <w:sz w:val="22"/>
        </w:rPr>
        <w:t xml:space="preserve">(RANSW) </w:t>
      </w:r>
      <w:r w:rsidRPr="00976BDA">
        <w:rPr>
          <w:rFonts w:ascii="Public Sans" w:eastAsia="Times New Roman" w:hAnsi="Public Sans" w:cs="Arial"/>
          <w:sz w:val="22"/>
        </w:rPr>
        <w:t xml:space="preserve">to guide our cooperative work in relation to </w:t>
      </w:r>
      <w:r>
        <w:rPr>
          <w:rFonts w:ascii="Public Sans" w:eastAsia="Times New Roman" w:hAnsi="Public Sans" w:cs="Arial"/>
          <w:sz w:val="22"/>
        </w:rPr>
        <w:t>its</w:t>
      </w:r>
      <w:r w:rsidRPr="00976BDA">
        <w:rPr>
          <w:rFonts w:ascii="Public Sans" w:eastAsia="Times New Roman" w:hAnsi="Public Sans" w:cs="Arial"/>
          <w:sz w:val="22"/>
        </w:rPr>
        <w:t xml:space="preserve"> Let’s Talk </w:t>
      </w:r>
      <w:r>
        <w:rPr>
          <w:rFonts w:ascii="Public Sans" w:eastAsia="Times New Roman" w:hAnsi="Public Sans" w:cs="Arial"/>
          <w:sz w:val="22"/>
        </w:rPr>
        <w:t>Elder Mediation and Support Service</w:t>
      </w:r>
      <w:r w:rsidRPr="00976BDA">
        <w:rPr>
          <w:rFonts w:ascii="Public Sans" w:eastAsia="Times New Roman" w:hAnsi="Public Sans" w:cs="Arial"/>
          <w:sz w:val="22"/>
        </w:rPr>
        <w:t xml:space="preserve">, to support older people and their families in reducing elder abuse, family violence, conflict and abusive behaviours. The Let’s Talk program provides an alternative approach to responding to violence, focused on family counselling and mediation, and a pathway for early intervention to prevent abuse and violence escalating. </w:t>
      </w:r>
    </w:p>
    <w:p w:rsidR="00317AD9" w:rsidRDefault="00317AD9" w:rsidP="00317AD9">
      <w:pPr>
        <w:widowControl w:val="0"/>
        <w:rPr>
          <w:rFonts w:ascii="Public Sans" w:eastAsia="Times New Roman" w:hAnsi="Public Sans" w:cs="Arial"/>
          <w:sz w:val="22"/>
        </w:rPr>
      </w:pPr>
    </w:p>
    <w:p w:rsidR="00317AD9" w:rsidRDefault="00317AD9" w:rsidP="00317AD9">
      <w:pPr>
        <w:pStyle w:val="NoSpacing"/>
        <w:widowControl w:val="0"/>
        <w:spacing w:after="0" w:line="240" w:lineRule="auto"/>
        <w:rPr>
          <w:rFonts w:cs="Arial"/>
          <w:sz w:val="22"/>
          <w:szCs w:val="22"/>
        </w:rPr>
      </w:pPr>
      <w:r w:rsidRPr="00A65CEA">
        <w:rPr>
          <w:rFonts w:cs="Arial"/>
          <w:sz w:val="22"/>
          <w:szCs w:val="22"/>
        </w:rPr>
        <w:t xml:space="preserve">We have seen positive outcomes from matters that we have referred to </w:t>
      </w:r>
      <w:r>
        <w:rPr>
          <w:rFonts w:cs="Arial"/>
          <w:sz w:val="22"/>
          <w:szCs w:val="22"/>
        </w:rPr>
        <w:t>the Let’s Talk program</w:t>
      </w:r>
      <w:r w:rsidRPr="00A65CEA">
        <w:rPr>
          <w:rFonts w:cs="Arial"/>
          <w:sz w:val="22"/>
          <w:szCs w:val="22"/>
        </w:rPr>
        <w:t xml:space="preserve">. Among other things, the program plays a valuable role in assisting the older person to identify and safely express their views and wishes, and to maximise their ability to make decisions prior to and during mediation. </w:t>
      </w:r>
    </w:p>
    <w:p w:rsidR="00317AD9" w:rsidRPr="00A65CEA" w:rsidRDefault="00317AD9" w:rsidP="00317AD9">
      <w:pPr>
        <w:pStyle w:val="NoSpacing"/>
        <w:widowControl w:val="0"/>
        <w:spacing w:after="0" w:line="240" w:lineRule="auto"/>
        <w:rPr>
          <w:rFonts w:cs="Arial"/>
          <w:sz w:val="22"/>
          <w:szCs w:val="22"/>
        </w:rPr>
      </w:pPr>
    </w:p>
    <w:p w:rsidR="00317AD9" w:rsidRDefault="00317AD9" w:rsidP="00317AD9">
      <w:pPr>
        <w:pStyle w:val="NoSpacing"/>
        <w:widowControl w:val="0"/>
        <w:spacing w:after="0" w:line="240" w:lineRule="auto"/>
        <w:rPr>
          <w:rFonts w:cs="Arial"/>
          <w:sz w:val="22"/>
          <w:szCs w:val="22"/>
        </w:rPr>
      </w:pPr>
      <w:r>
        <w:rPr>
          <w:rFonts w:cs="Arial"/>
          <w:sz w:val="22"/>
          <w:szCs w:val="22"/>
        </w:rPr>
        <w:t xml:space="preserve">We understand that the NSW Government funding for this program (through Domestic and Family Violence innovation funding) will cease on 30 June 2022. </w:t>
      </w:r>
      <w:r w:rsidRPr="00A65CEA">
        <w:rPr>
          <w:rFonts w:cs="Arial"/>
          <w:sz w:val="22"/>
          <w:szCs w:val="22"/>
        </w:rPr>
        <w:t xml:space="preserve">We note that there are no readily identifiable alternative options to the </w:t>
      </w:r>
      <w:r>
        <w:rPr>
          <w:rFonts w:cs="Arial"/>
          <w:sz w:val="22"/>
          <w:szCs w:val="22"/>
        </w:rPr>
        <w:t xml:space="preserve">mediation and </w:t>
      </w:r>
      <w:r w:rsidRPr="00A65CEA">
        <w:rPr>
          <w:rFonts w:cs="Arial"/>
          <w:sz w:val="22"/>
          <w:szCs w:val="22"/>
        </w:rPr>
        <w:t xml:space="preserve">dispute resolution assistance provided via </w:t>
      </w:r>
      <w:r>
        <w:rPr>
          <w:rFonts w:cs="Arial"/>
          <w:sz w:val="22"/>
          <w:szCs w:val="22"/>
        </w:rPr>
        <w:t xml:space="preserve">the </w:t>
      </w:r>
      <w:r w:rsidRPr="00A65CEA">
        <w:rPr>
          <w:rFonts w:cs="Arial"/>
          <w:sz w:val="22"/>
          <w:szCs w:val="22"/>
        </w:rPr>
        <w:t xml:space="preserve">Let’s Talk </w:t>
      </w:r>
      <w:r>
        <w:rPr>
          <w:rFonts w:cs="Arial"/>
          <w:sz w:val="22"/>
          <w:szCs w:val="22"/>
        </w:rPr>
        <w:t xml:space="preserve">program </w:t>
      </w:r>
      <w:r w:rsidRPr="00A65CEA">
        <w:rPr>
          <w:rFonts w:cs="Arial"/>
          <w:sz w:val="22"/>
          <w:szCs w:val="22"/>
        </w:rPr>
        <w:t>to older people who are subje</w:t>
      </w:r>
      <w:r>
        <w:rPr>
          <w:rFonts w:cs="Arial"/>
          <w:sz w:val="22"/>
          <w:szCs w:val="22"/>
        </w:rPr>
        <w:t xml:space="preserve">ct to, or at risk of, abuse. </w:t>
      </w:r>
    </w:p>
    <w:p w:rsidR="00317AD9" w:rsidRDefault="00317AD9" w:rsidP="00317AD9">
      <w:pPr>
        <w:pStyle w:val="NoSpacing"/>
        <w:widowControl w:val="0"/>
        <w:spacing w:after="0" w:line="240" w:lineRule="auto"/>
        <w:rPr>
          <w:rFonts w:cs="Arial"/>
          <w:sz w:val="22"/>
          <w:szCs w:val="22"/>
        </w:rPr>
      </w:pPr>
    </w:p>
    <w:p w:rsidR="00317AD9" w:rsidRPr="009277BE" w:rsidRDefault="00317AD9" w:rsidP="00317AD9">
      <w:pPr>
        <w:widowControl w:val="0"/>
        <w:rPr>
          <w:rFonts w:ascii="Public Sans" w:eastAsia="Times New Roman" w:hAnsi="Public Sans" w:cs="Arial"/>
          <w:b/>
          <w:sz w:val="24"/>
        </w:rPr>
      </w:pPr>
      <w:r w:rsidRPr="009277BE">
        <w:rPr>
          <w:rFonts w:ascii="Public Sans" w:eastAsia="Times New Roman" w:hAnsi="Public Sans" w:cs="Arial"/>
          <w:b/>
          <w:color w:val="002060"/>
          <w:sz w:val="28"/>
        </w:rPr>
        <w:t>Advocacy and case management support for older people</w:t>
      </w:r>
    </w:p>
    <w:p w:rsidR="00317AD9" w:rsidRDefault="00317AD9" w:rsidP="00317AD9">
      <w:pPr>
        <w:pStyle w:val="BodyText"/>
        <w:spacing w:after="0" w:line="240" w:lineRule="auto"/>
        <w:rPr>
          <w:rFonts w:ascii="Public Sans" w:hAnsi="Public Sans"/>
          <w:sz w:val="22"/>
        </w:rPr>
      </w:pPr>
      <w:r>
        <w:rPr>
          <w:rFonts w:ascii="Public Sans" w:hAnsi="Public Sans"/>
          <w:sz w:val="22"/>
        </w:rPr>
        <w:t xml:space="preserve">We see positive outcomes and effective support for older people as a result of being connected to advocacy services. However, advocacy support for older people is typically limited to those who are in receipt, or awaiting receipt, of aged care services. In our experience, there are many older people who are not receiving or waiting to receive aged care services, and who would significantly benefit from advocacy support – including those who are subject to, or at risk of, abuse and/or homelessness. </w:t>
      </w:r>
    </w:p>
    <w:p w:rsidR="00317AD9" w:rsidRDefault="00317AD9" w:rsidP="00317AD9">
      <w:pPr>
        <w:pStyle w:val="BodyText"/>
        <w:spacing w:before="0" w:after="0" w:line="240" w:lineRule="auto"/>
        <w:rPr>
          <w:rFonts w:ascii="Public Sans" w:hAnsi="Public Sans"/>
          <w:sz w:val="22"/>
        </w:rPr>
      </w:pPr>
    </w:p>
    <w:p w:rsidR="00317AD9" w:rsidRDefault="00317AD9" w:rsidP="00317AD9">
      <w:pPr>
        <w:pStyle w:val="BodyText"/>
        <w:spacing w:before="0" w:after="0" w:line="240" w:lineRule="auto"/>
        <w:rPr>
          <w:rFonts w:ascii="Public Sans" w:hAnsi="Public Sans"/>
          <w:sz w:val="22"/>
        </w:rPr>
      </w:pPr>
      <w:r>
        <w:rPr>
          <w:rFonts w:ascii="Public Sans" w:hAnsi="Public Sans"/>
          <w:sz w:val="22"/>
        </w:rPr>
        <w:t xml:space="preserve">On a separate but related note, our work highlights the gaps that exist in relation to case management support for older people. Many of the challenges identified in this submission – including difficulties for older people in navigating systems to find appropriate and accessible accommodation – would be ameliorated with case management assistance, even on a short-term basis. The substantial gains that we see from the provision of support coordination in the NDIS are not currently replicated in the aged care system. </w:t>
      </w:r>
    </w:p>
    <w:p w:rsidR="00317AD9" w:rsidRDefault="00317AD9" w:rsidP="00317AD9">
      <w:pPr>
        <w:pStyle w:val="Heading2"/>
        <w:spacing w:before="0" w:after="0"/>
        <w:rPr>
          <w:rFonts w:ascii="Public Sans" w:hAnsi="Public Sans"/>
          <w:b/>
          <w:color w:val="002060"/>
          <w:sz w:val="24"/>
        </w:rPr>
      </w:pPr>
    </w:p>
    <w:p w:rsidR="003D5FB0" w:rsidRDefault="003D5FB0" w:rsidP="001151A5">
      <w:pPr>
        <w:pStyle w:val="Heading2"/>
        <w:spacing w:before="0" w:after="0"/>
        <w:rPr>
          <w:rFonts w:ascii="Public Sans" w:hAnsi="Public Sans"/>
          <w:b/>
          <w:color w:val="002060"/>
          <w:sz w:val="24"/>
        </w:rPr>
      </w:pPr>
    </w:p>
    <w:p w:rsidR="00CD12ED" w:rsidRPr="0083672C" w:rsidRDefault="00CD12ED" w:rsidP="001151A5">
      <w:pPr>
        <w:pStyle w:val="BodyText"/>
        <w:spacing w:before="0" w:after="0" w:line="240" w:lineRule="auto"/>
        <w:rPr>
          <w:rFonts w:ascii="Public Sans" w:hAnsi="Public Sans"/>
          <w:sz w:val="22"/>
        </w:rPr>
      </w:pPr>
    </w:p>
    <w:p w:rsidR="00EE7AA0" w:rsidRPr="0083672C" w:rsidRDefault="00EE7AA0" w:rsidP="001151A5">
      <w:pPr>
        <w:pStyle w:val="BodyText"/>
        <w:spacing w:before="0" w:after="0" w:line="240" w:lineRule="auto"/>
        <w:rPr>
          <w:rFonts w:ascii="Public Sans" w:hAnsi="Public Sans"/>
          <w:sz w:val="22"/>
        </w:rPr>
      </w:pPr>
    </w:p>
    <w:p w:rsidR="006D5E1B" w:rsidRDefault="006D5E1B">
      <w:pPr>
        <w:spacing w:before="80" w:after="80"/>
      </w:pPr>
    </w:p>
    <w:p w:rsidR="006D5E1B" w:rsidRDefault="006D5E1B">
      <w:pPr>
        <w:spacing w:before="80" w:after="80"/>
      </w:pPr>
    </w:p>
    <w:p w:rsidR="006D5E1B" w:rsidRDefault="006D5E1B">
      <w:pPr>
        <w:spacing w:before="80" w:after="80"/>
      </w:pPr>
      <w:r>
        <w:br w:type="page"/>
      </w:r>
    </w:p>
    <w:p w:rsidR="00026BD8" w:rsidRPr="00026BD8" w:rsidRDefault="00026BD8" w:rsidP="00026BD8">
      <w:pPr>
        <w:pStyle w:val="BodyText"/>
        <w:spacing w:before="0" w:after="0" w:line="240" w:lineRule="auto"/>
        <w:rPr>
          <w:rFonts w:ascii="Public Sans" w:hAnsi="Public Sans"/>
          <w:b/>
          <w:color w:val="002060"/>
          <w:sz w:val="32"/>
        </w:rPr>
      </w:pPr>
      <w:r w:rsidRPr="00026BD8">
        <w:rPr>
          <w:rFonts w:ascii="Public Sans" w:hAnsi="Public Sans"/>
          <w:b/>
          <w:color w:val="002060"/>
          <w:sz w:val="32"/>
        </w:rPr>
        <w:lastRenderedPageBreak/>
        <w:t>Attachment 1: Data relating to reports to the ADC about older people in 2020-21</w:t>
      </w:r>
    </w:p>
    <w:p w:rsidR="00026BD8" w:rsidRDefault="00026BD8" w:rsidP="00026BD8">
      <w:pPr>
        <w:pStyle w:val="BodyText"/>
        <w:spacing w:before="0" w:after="0" w:line="240" w:lineRule="auto"/>
        <w:rPr>
          <w:rFonts w:ascii="Public Sans" w:hAnsi="Public Sans"/>
          <w:color w:val="002060"/>
          <w:sz w:val="28"/>
        </w:rPr>
      </w:pPr>
    </w:p>
    <w:p w:rsidR="00026BD8" w:rsidRPr="00026BD8" w:rsidRDefault="00026BD8" w:rsidP="00BA49D2">
      <w:pPr>
        <w:pStyle w:val="BodyText"/>
        <w:numPr>
          <w:ilvl w:val="0"/>
          <w:numId w:val="36"/>
        </w:numPr>
        <w:spacing w:before="0" w:after="0" w:line="240" w:lineRule="auto"/>
        <w:ind w:left="426" w:hanging="426"/>
        <w:rPr>
          <w:rFonts w:ascii="Public Sans" w:hAnsi="Public Sans" w:cs="Segoe UI"/>
          <w:b/>
          <w:color w:val="002060"/>
          <w:sz w:val="28"/>
        </w:rPr>
      </w:pPr>
      <w:r w:rsidRPr="00026BD8">
        <w:rPr>
          <w:rFonts w:ascii="Public Sans" w:hAnsi="Public Sans" w:cs="Segoe UI"/>
          <w:b/>
          <w:color w:val="002060"/>
          <w:sz w:val="28"/>
        </w:rPr>
        <w:t xml:space="preserve">Number of calls, enquiries and reports relating to abuse of older people </w:t>
      </w:r>
    </w:p>
    <w:p w:rsidR="00026BD8" w:rsidRDefault="00026BD8" w:rsidP="00026BD8">
      <w:pPr>
        <w:pStyle w:val="BodyText"/>
        <w:spacing w:before="0" w:after="0" w:line="240" w:lineRule="auto"/>
        <w:rPr>
          <w:rFonts w:ascii="Public Sans" w:hAnsi="Public Sans" w:cs="Segoe UI"/>
          <w:sz w:val="22"/>
        </w:rPr>
      </w:pPr>
    </w:p>
    <w:p w:rsidR="00026BD8" w:rsidRPr="00BB7ADB" w:rsidRDefault="00026BD8" w:rsidP="00026BD8">
      <w:pPr>
        <w:pStyle w:val="BodyText"/>
        <w:spacing w:before="0" w:after="0" w:line="240" w:lineRule="auto"/>
        <w:rPr>
          <w:rFonts w:ascii="Public Sans" w:hAnsi="Public Sans" w:cs="Segoe UI"/>
          <w:b/>
          <w:sz w:val="22"/>
        </w:rPr>
      </w:pPr>
      <w:r w:rsidRPr="00BB7ADB">
        <w:rPr>
          <w:rFonts w:ascii="Public Sans" w:hAnsi="Public Sans" w:cs="Segoe UI"/>
          <w:sz w:val="22"/>
        </w:rPr>
        <w:t xml:space="preserve">In 2020/21, the Ageing and Disability Abuse Helpline received </w:t>
      </w:r>
      <w:r w:rsidRPr="00BB7ADB">
        <w:rPr>
          <w:rFonts w:ascii="Public Sans" w:hAnsi="Public Sans" w:cs="Segoe UI"/>
          <w:b/>
          <w:sz w:val="22"/>
        </w:rPr>
        <w:t>13,090 calls</w:t>
      </w:r>
      <w:r>
        <w:rPr>
          <w:rFonts w:ascii="Public Sans" w:hAnsi="Public Sans" w:cs="Segoe UI"/>
          <w:b/>
          <w:sz w:val="22"/>
        </w:rPr>
        <w:t>.</w:t>
      </w:r>
    </w:p>
    <w:p w:rsidR="00026BD8" w:rsidRDefault="00026BD8" w:rsidP="00026BD8">
      <w:pPr>
        <w:pStyle w:val="BodyText"/>
        <w:spacing w:before="0" w:after="0" w:line="240" w:lineRule="auto"/>
        <w:rPr>
          <w:rFonts w:ascii="Public Sans" w:hAnsi="Public Sans"/>
          <w:b/>
          <w:sz w:val="22"/>
        </w:rPr>
      </w:pPr>
    </w:p>
    <w:p w:rsidR="00026BD8" w:rsidRPr="00026BD8" w:rsidRDefault="00BA49D2" w:rsidP="00026BD8">
      <w:pPr>
        <w:pStyle w:val="BodyText"/>
        <w:spacing w:before="0" w:after="0" w:line="240" w:lineRule="auto"/>
        <w:rPr>
          <w:rFonts w:ascii="Public Sans" w:hAnsi="Public Sans"/>
          <w:b/>
          <w:szCs w:val="20"/>
        </w:rPr>
      </w:pPr>
      <w:r>
        <w:rPr>
          <w:noProof/>
        </w:rPr>
        <w:drawing>
          <wp:anchor distT="0" distB="0" distL="114300" distR="114300" simplePos="0" relativeHeight="251660288" behindDoc="0" locked="0" layoutInCell="1" allowOverlap="1" wp14:anchorId="37E96277" wp14:editId="0F734879">
            <wp:simplePos x="0" y="0"/>
            <wp:positionH relativeFrom="margin">
              <wp:posOffset>-1270</wp:posOffset>
            </wp:positionH>
            <wp:positionV relativeFrom="paragraph">
              <wp:posOffset>379730</wp:posOffset>
            </wp:positionV>
            <wp:extent cx="5904230" cy="2344606"/>
            <wp:effectExtent l="0" t="0" r="1270" b="1778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26BD8" w:rsidRPr="00026BD8">
        <w:rPr>
          <w:rFonts w:ascii="Public Sans" w:hAnsi="Public Sans"/>
          <w:b/>
          <w:szCs w:val="20"/>
        </w:rPr>
        <w:t xml:space="preserve">Figure 1: </w:t>
      </w:r>
      <w:r w:rsidR="00026BD8" w:rsidRPr="00026BD8">
        <w:rPr>
          <w:rFonts w:ascii="Public Sans" w:eastAsia="Helvetica" w:hAnsi="Public Sans" w:cs="Segoe UI"/>
          <w:b/>
          <w:szCs w:val="20"/>
        </w:rPr>
        <w:t>Number of calls received by the Ageing and Disability Abuse Helpline, by quarter, July 2019 – June 2021</w:t>
      </w:r>
    </w:p>
    <w:p w:rsidR="001462C1" w:rsidRDefault="00026BD8" w:rsidP="00BB02B7">
      <w:pPr>
        <w:pStyle w:val="Body"/>
        <w:widowControl w:val="0"/>
        <w:rPr>
          <w:rFonts w:ascii="Public Sans" w:eastAsia="Helvetica" w:hAnsi="Public Sans" w:cs="Segoe UI"/>
        </w:rPr>
      </w:pPr>
      <w:r w:rsidRPr="00BB7ADB">
        <w:rPr>
          <w:rFonts w:ascii="Public Sans" w:eastAsia="Helvetica" w:hAnsi="Public Sans" w:cs="Segoe UI"/>
        </w:rPr>
        <w:t xml:space="preserve">In 2020-21, the ADC received </w:t>
      </w:r>
      <w:r w:rsidRPr="00BB7ADB">
        <w:rPr>
          <w:rFonts w:ascii="Public Sans" w:eastAsia="Helvetica" w:hAnsi="Public Sans" w:cs="Segoe UI"/>
          <w:b/>
        </w:rPr>
        <w:t>5,000 matters</w:t>
      </w:r>
      <w:r w:rsidRPr="00BB7ADB">
        <w:rPr>
          <w:rFonts w:ascii="Public Sans" w:eastAsia="Helvetica" w:hAnsi="Public Sans" w:cs="Segoe UI"/>
        </w:rPr>
        <w:t>, comprising:</w:t>
      </w:r>
      <w:r w:rsidR="001462C1">
        <w:rPr>
          <w:rFonts w:ascii="Public Sans" w:eastAsia="Helvetica" w:hAnsi="Public Sans" w:cs="Segoe UI"/>
        </w:rPr>
        <w:t xml:space="preserve"> </w:t>
      </w:r>
    </w:p>
    <w:p w:rsidR="001122B8" w:rsidRDefault="001122B8" w:rsidP="00BB02B7">
      <w:pPr>
        <w:pStyle w:val="Body"/>
        <w:widowControl w:val="0"/>
        <w:rPr>
          <w:rFonts w:ascii="Public Sans" w:eastAsia="Helvetica" w:hAnsi="Public Sans" w:cs="Segoe UI"/>
        </w:rPr>
      </w:pPr>
    </w:p>
    <w:p w:rsidR="00BB02B7" w:rsidRPr="001462C1" w:rsidRDefault="00BD29F6" w:rsidP="00BB02B7">
      <w:pPr>
        <w:pStyle w:val="Body"/>
        <w:widowControl w:val="0"/>
        <w:rPr>
          <w:rFonts w:ascii="Public Sans" w:eastAsia="Helvetica" w:hAnsi="Public Sans" w:cs="Segoe UI"/>
        </w:rPr>
      </w:pPr>
      <w:r>
        <w:rPr>
          <w:rFonts w:ascii="Public Sans" w:eastAsia="Helvetica" w:hAnsi="Public Sans" w:cs="Segoe UI"/>
          <w:b/>
        </w:rPr>
        <w:t>*</w:t>
      </w:r>
      <w:r w:rsidR="001462C1">
        <w:rPr>
          <w:rFonts w:ascii="Public Sans" w:eastAsia="Helvetica" w:hAnsi="Public Sans" w:cs="Segoe UI"/>
          <w:b/>
        </w:rPr>
        <w:t xml:space="preserve"> </w:t>
      </w:r>
      <w:r w:rsidR="00026BD8" w:rsidRPr="00BB7ADB">
        <w:rPr>
          <w:rFonts w:ascii="Public Sans" w:eastAsia="Helvetica" w:hAnsi="Public Sans" w:cs="Segoe UI"/>
          <w:b/>
        </w:rPr>
        <w:t>3,566 reports</w:t>
      </w:r>
      <w:r w:rsidR="00026BD8" w:rsidRPr="00BB7ADB">
        <w:rPr>
          <w:rFonts w:ascii="Public Sans" w:eastAsia="Helvetica" w:hAnsi="Public Sans" w:cs="Segoe UI"/>
        </w:rPr>
        <w:t xml:space="preserve"> under section 13 of the </w:t>
      </w:r>
      <w:r w:rsidR="00026BD8" w:rsidRPr="00BB7ADB">
        <w:rPr>
          <w:rFonts w:ascii="Public Sans" w:eastAsia="Helvetica" w:hAnsi="Public Sans" w:cs="Segoe UI"/>
          <w:i/>
        </w:rPr>
        <w:t>Ageing and Disability Commissioner Act 2019</w:t>
      </w:r>
    </w:p>
    <w:p w:rsidR="00BB02B7" w:rsidRDefault="00BD29F6" w:rsidP="005D0633">
      <w:pPr>
        <w:pStyle w:val="Body"/>
        <w:widowControl w:val="0"/>
        <w:spacing w:before="60"/>
        <w:rPr>
          <w:rFonts w:ascii="Public Sans" w:eastAsia="Helvetica" w:hAnsi="Public Sans" w:cs="Segoe UI"/>
        </w:rPr>
      </w:pPr>
      <w:r>
        <w:rPr>
          <w:rFonts w:ascii="Public Sans" w:eastAsia="Helvetica" w:hAnsi="Public Sans" w:cs="Segoe UI"/>
          <w:b/>
        </w:rPr>
        <w:t>*</w:t>
      </w:r>
      <w:r w:rsidR="001462C1">
        <w:rPr>
          <w:rFonts w:ascii="Public Sans" w:eastAsia="Helvetica" w:hAnsi="Public Sans" w:cs="Segoe UI"/>
          <w:b/>
        </w:rPr>
        <w:t xml:space="preserve"> </w:t>
      </w:r>
      <w:r w:rsidR="00026BD8" w:rsidRPr="00BB7ADB">
        <w:rPr>
          <w:rFonts w:ascii="Public Sans" w:eastAsia="Helvetica" w:hAnsi="Public Sans" w:cs="Segoe UI"/>
          <w:b/>
        </w:rPr>
        <w:t>1,434 enquiries</w:t>
      </w:r>
      <w:r w:rsidR="00026BD8" w:rsidRPr="00BB7ADB">
        <w:rPr>
          <w:rFonts w:ascii="Public Sans" w:eastAsia="Helvetica" w:hAnsi="Public Sans" w:cs="Segoe UI"/>
        </w:rPr>
        <w:t xml:space="preserve"> – involving 782 general enquiries, and 652 abuse-related enquiries. </w:t>
      </w:r>
    </w:p>
    <w:p w:rsidR="00BB02B7" w:rsidRDefault="00BB02B7" w:rsidP="00026BD8">
      <w:pPr>
        <w:pStyle w:val="Body"/>
        <w:widowControl w:val="0"/>
        <w:rPr>
          <w:rFonts w:ascii="Public Sans" w:eastAsia="Helvetica" w:hAnsi="Public Sans" w:cs="Segoe UI"/>
        </w:rPr>
      </w:pPr>
    </w:p>
    <w:p w:rsidR="00BB02B7" w:rsidRDefault="00026BD8" w:rsidP="00BB02B7">
      <w:pPr>
        <w:pStyle w:val="Body"/>
        <w:widowControl w:val="0"/>
        <w:rPr>
          <w:rFonts w:ascii="Public Sans" w:eastAsia="Helvetica" w:hAnsi="Public Sans" w:cs="Segoe UI"/>
        </w:rPr>
      </w:pPr>
      <w:r w:rsidRPr="00BB7ADB">
        <w:rPr>
          <w:rFonts w:ascii="Public Sans" w:eastAsia="Helvetica" w:hAnsi="Public Sans" w:cs="Segoe UI"/>
        </w:rPr>
        <w:t>Of the 3,566 reports received by the ADC in 2020-21</w:t>
      </w:r>
      <w:r w:rsidR="00BB02B7">
        <w:rPr>
          <w:rFonts w:ascii="Public Sans" w:eastAsia="Helvetica" w:hAnsi="Public Sans" w:cs="Segoe UI"/>
        </w:rPr>
        <w:t xml:space="preserve">, </w:t>
      </w:r>
      <w:r w:rsidRPr="00BB7ADB">
        <w:rPr>
          <w:rFonts w:ascii="Public Sans" w:eastAsia="Helvetica" w:hAnsi="Public Sans" w:cs="Segoe UI"/>
          <w:b/>
        </w:rPr>
        <w:t>2,777 reports (77.9%) related to older people</w:t>
      </w:r>
      <w:r w:rsidRPr="00BB7ADB">
        <w:rPr>
          <w:rStyle w:val="FootnoteReference"/>
          <w:rFonts w:ascii="Public Sans" w:eastAsia="Helvetica" w:hAnsi="Public Sans" w:cs="Segoe UI"/>
        </w:rPr>
        <w:footnoteReference w:id="1"/>
      </w:r>
      <w:r w:rsidRPr="00BB7ADB">
        <w:rPr>
          <w:rFonts w:ascii="Public Sans" w:eastAsia="Helvetica" w:hAnsi="Public Sans" w:cs="Segoe UI"/>
        </w:rPr>
        <w:t>, including 1,030 reports about older people with disability</w:t>
      </w:r>
      <w:r w:rsidR="00BB02B7">
        <w:rPr>
          <w:rFonts w:ascii="Public Sans" w:eastAsia="Helvetica" w:hAnsi="Public Sans" w:cs="Segoe UI"/>
        </w:rPr>
        <w:t xml:space="preserve">. </w:t>
      </w:r>
    </w:p>
    <w:p w:rsidR="00BB02B7" w:rsidRDefault="00BB02B7" w:rsidP="00BB02B7">
      <w:pPr>
        <w:pStyle w:val="Body"/>
        <w:widowControl w:val="0"/>
        <w:rPr>
          <w:rFonts w:ascii="Public Sans" w:eastAsia="Helvetica" w:hAnsi="Public Sans" w:cs="Segoe UI"/>
        </w:rPr>
      </w:pPr>
    </w:p>
    <w:p w:rsidR="006423F2" w:rsidRDefault="00BB02B7" w:rsidP="006423F2">
      <w:pPr>
        <w:pStyle w:val="Body"/>
        <w:widowControl w:val="0"/>
        <w:rPr>
          <w:rFonts w:ascii="Public Sans" w:eastAsia="Helvetica" w:hAnsi="Public Sans" w:cs="Segoe UI"/>
          <w:b/>
          <w:sz w:val="20"/>
        </w:rPr>
      </w:pPr>
      <w:r w:rsidRPr="00BB02B7">
        <w:rPr>
          <w:rFonts w:ascii="Public Sans" w:eastAsia="Helvetica" w:hAnsi="Public Sans" w:cs="Segoe UI"/>
          <w:b/>
          <w:sz w:val="20"/>
        </w:rPr>
        <w:t>Figure 2: All reports received by the ADC, by person status, 2020-21</w:t>
      </w:r>
    </w:p>
    <w:p w:rsidR="00026BD8" w:rsidRDefault="00BD29F6" w:rsidP="006423F2">
      <w:pPr>
        <w:pStyle w:val="Body"/>
        <w:widowControl w:val="0"/>
        <w:rPr>
          <w:rFonts w:ascii="Public Sans" w:hAnsi="Public Sans"/>
          <w:color w:val="122872" w:themeColor="accent3"/>
        </w:rPr>
      </w:pPr>
      <w:bookmarkStart w:id="1" w:name="_GoBack"/>
      <w:r>
        <w:rPr>
          <w:noProof/>
        </w:rPr>
        <w:drawing>
          <wp:anchor distT="0" distB="0" distL="114300" distR="114300" simplePos="0" relativeHeight="251659264" behindDoc="0" locked="0" layoutInCell="1" allowOverlap="1" wp14:anchorId="54B00A3F" wp14:editId="0085E6E3">
            <wp:simplePos x="0" y="0"/>
            <wp:positionH relativeFrom="margin">
              <wp:align>left</wp:align>
            </wp:positionH>
            <wp:positionV relativeFrom="paragraph">
              <wp:posOffset>16510</wp:posOffset>
            </wp:positionV>
            <wp:extent cx="5448300" cy="209550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bookmarkEnd w:id="1"/>
    </w:p>
    <w:p w:rsidR="00026BD8" w:rsidRDefault="00026BD8" w:rsidP="00026BD8">
      <w:pPr>
        <w:pStyle w:val="BodyText"/>
        <w:spacing w:before="0" w:after="0" w:line="240" w:lineRule="auto"/>
        <w:rPr>
          <w:rFonts w:ascii="Public Sans" w:hAnsi="Public Sans"/>
          <w:color w:val="122872" w:themeColor="accent3"/>
          <w:sz w:val="22"/>
        </w:rPr>
      </w:pPr>
    </w:p>
    <w:p w:rsidR="00026BD8" w:rsidRPr="007E7F81" w:rsidRDefault="00026BD8" w:rsidP="00026BD8">
      <w:pPr>
        <w:rPr>
          <w:lang w:eastAsia="en-AU"/>
        </w:rPr>
      </w:pPr>
    </w:p>
    <w:p w:rsidR="00026BD8" w:rsidRPr="007E7F81" w:rsidRDefault="00026BD8" w:rsidP="00026BD8">
      <w:pPr>
        <w:rPr>
          <w:lang w:eastAsia="en-AU"/>
        </w:rPr>
      </w:pPr>
    </w:p>
    <w:p w:rsidR="00026BD8" w:rsidRPr="007E7F81" w:rsidRDefault="00026BD8" w:rsidP="00026BD8">
      <w:pPr>
        <w:rPr>
          <w:lang w:eastAsia="en-AU"/>
        </w:rPr>
      </w:pPr>
    </w:p>
    <w:p w:rsidR="00026BD8" w:rsidRPr="007E7F81" w:rsidRDefault="00026BD8" w:rsidP="00026BD8">
      <w:pPr>
        <w:rPr>
          <w:lang w:eastAsia="en-AU"/>
        </w:rPr>
      </w:pPr>
    </w:p>
    <w:p w:rsidR="00026BD8" w:rsidRPr="007E7F81" w:rsidRDefault="00026BD8" w:rsidP="00026BD8">
      <w:pPr>
        <w:rPr>
          <w:lang w:eastAsia="en-AU"/>
        </w:rPr>
      </w:pPr>
    </w:p>
    <w:p w:rsidR="00026BD8" w:rsidRPr="007E7F81" w:rsidRDefault="00026BD8" w:rsidP="00026BD8">
      <w:pPr>
        <w:rPr>
          <w:lang w:eastAsia="en-AU"/>
        </w:rPr>
      </w:pPr>
    </w:p>
    <w:p w:rsidR="00026BD8" w:rsidRPr="007E7F81" w:rsidRDefault="00026BD8" w:rsidP="00026BD8">
      <w:pPr>
        <w:rPr>
          <w:lang w:eastAsia="en-AU"/>
        </w:rPr>
      </w:pPr>
    </w:p>
    <w:p w:rsidR="00026BD8" w:rsidRDefault="00026BD8" w:rsidP="00026BD8">
      <w:pPr>
        <w:rPr>
          <w:lang w:eastAsia="en-AU"/>
        </w:rPr>
      </w:pPr>
    </w:p>
    <w:p w:rsidR="00026BD8" w:rsidRDefault="00026BD8" w:rsidP="00026BD8">
      <w:pPr>
        <w:rPr>
          <w:lang w:eastAsia="en-AU"/>
        </w:rPr>
      </w:pPr>
    </w:p>
    <w:p w:rsidR="00026BD8" w:rsidRDefault="00026BD8" w:rsidP="00026BD8">
      <w:pPr>
        <w:rPr>
          <w:lang w:eastAsia="en-AU"/>
        </w:rPr>
      </w:pPr>
    </w:p>
    <w:p w:rsidR="00026BD8" w:rsidRDefault="00026BD8" w:rsidP="00026BD8">
      <w:pPr>
        <w:rPr>
          <w:lang w:eastAsia="en-AU"/>
        </w:rPr>
      </w:pPr>
    </w:p>
    <w:p w:rsidR="00026BD8" w:rsidRDefault="00026BD8" w:rsidP="00026BD8">
      <w:pPr>
        <w:rPr>
          <w:lang w:eastAsia="en-AU"/>
        </w:rPr>
      </w:pPr>
    </w:p>
    <w:p w:rsidR="00026BD8" w:rsidRDefault="00026BD8" w:rsidP="00026BD8">
      <w:pPr>
        <w:rPr>
          <w:lang w:eastAsia="en-AU"/>
        </w:rPr>
      </w:pPr>
    </w:p>
    <w:p w:rsidR="00026BD8" w:rsidRPr="00C50ED2" w:rsidRDefault="00026BD8" w:rsidP="00026BD8">
      <w:pPr>
        <w:rPr>
          <w:color w:val="002060"/>
          <w:lang w:eastAsia="en-AU"/>
        </w:rPr>
      </w:pPr>
    </w:p>
    <w:p w:rsidR="00026BD8" w:rsidRPr="00BA49D2" w:rsidRDefault="00026BD8" w:rsidP="00BA49D2">
      <w:pPr>
        <w:pStyle w:val="BodyText"/>
        <w:numPr>
          <w:ilvl w:val="0"/>
          <w:numId w:val="36"/>
        </w:numPr>
        <w:spacing w:before="0" w:after="0" w:line="240" w:lineRule="auto"/>
        <w:ind w:left="426" w:hanging="426"/>
        <w:rPr>
          <w:rFonts w:ascii="Public Sans" w:eastAsia="Helvetica" w:hAnsi="Public Sans" w:cs="Segoe UI"/>
          <w:b/>
          <w:color w:val="002060"/>
          <w:sz w:val="28"/>
        </w:rPr>
      </w:pPr>
      <w:r w:rsidRPr="00BA49D2">
        <w:rPr>
          <w:rFonts w:ascii="Public Sans" w:eastAsia="Helvetica" w:hAnsi="Public Sans" w:cs="Segoe UI"/>
          <w:b/>
          <w:color w:val="002060"/>
          <w:sz w:val="28"/>
        </w:rPr>
        <w:lastRenderedPageBreak/>
        <w:t xml:space="preserve">Gender </w:t>
      </w:r>
    </w:p>
    <w:p w:rsidR="00026BD8" w:rsidRPr="009E65EB" w:rsidRDefault="00026BD8" w:rsidP="007E2C83">
      <w:pPr>
        <w:pStyle w:val="BodyText"/>
        <w:widowControl w:val="0"/>
        <w:spacing w:after="0" w:line="240" w:lineRule="auto"/>
        <w:rPr>
          <w:rFonts w:ascii="Public Sans" w:hAnsi="Public Sans" w:cs="Segoe UI"/>
          <w:sz w:val="24"/>
        </w:rPr>
      </w:pPr>
      <w:r w:rsidRPr="009E65EB">
        <w:rPr>
          <w:rFonts w:ascii="Public Sans" w:eastAsia="Helvetica" w:hAnsi="Public Sans" w:cs="Segoe UI"/>
          <w:sz w:val="22"/>
        </w:rPr>
        <w:t>From the start of the ADC, most reports have been about alleged abuse, neglect and exploitation of women. In 2020-21, the adults in 63.3% of the 3,566 reports to the ADC were female, including 65.7% of reports about older people (1,824)</w:t>
      </w:r>
      <w:r w:rsidR="00BD29F6">
        <w:rPr>
          <w:rFonts w:ascii="Public Sans" w:eastAsia="Helvetica" w:hAnsi="Public Sans" w:cs="Segoe UI"/>
          <w:sz w:val="22"/>
        </w:rPr>
        <w:t>.</w:t>
      </w:r>
    </w:p>
    <w:p w:rsidR="00026BD8" w:rsidRDefault="00026BD8" w:rsidP="00026BD8">
      <w:pPr>
        <w:pStyle w:val="BodyText"/>
        <w:spacing w:before="0" w:after="0" w:line="240" w:lineRule="auto"/>
        <w:rPr>
          <w:rFonts w:ascii="Public Sans" w:hAnsi="Public Sans" w:cs="Segoe UI"/>
          <w:sz w:val="22"/>
        </w:rPr>
      </w:pPr>
    </w:p>
    <w:p w:rsidR="00026BD8" w:rsidRPr="00D46C4B" w:rsidRDefault="00B01BCA" w:rsidP="00026BD8">
      <w:pPr>
        <w:pStyle w:val="BodyText"/>
        <w:spacing w:before="0" w:after="0" w:line="240" w:lineRule="auto"/>
        <w:rPr>
          <w:rFonts w:ascii="Public Sans" w:hAnsi="Public Sans"/>
          <w:b/>
          <w:color w:val="122872" w:themeColor="accent3"/>
          <w:sz w:val="22"/>
        </w:rPr>
      </w:pPr>
      <w:r>
        <w:rPr>
          <w:noProof/>
        </w:rPr>
        <w:drawing>
          <wp:anchor distT="0" distB="0" distL="114300" distR="114300" simplePos="0" relativeHeight="251661312" behindDoc="0" locked="0" layoutInCell="1" allowOverlap="1" wp14:anchorId="2BF73755" wp14:editId="46127971">
            <wp:simplePos x="0" y="0"/>
            <wp:positionH relativeFrom="margin">
              <wp:align>left</wp:align>
            </wp:positionH>
            <wp:positionV relativeFrom="paragraph">
              <wp:posOffset>278765</wp:posOffset>
            </wp:positionV>
            <wp:extent cx="5915025" cy="268605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026BD8" w:rsidRPr="00D46C4B">
        <w:rPr>
          <w:rFonts w:ascii="Public Sans" w:hAnsi="Public Sans" w:cs="Segoe UI"/>
          <w:b/>
        </w:rPr>
        <w:t>Figure 3: Gender of older people the subject of a report to the ADC, 2020-21</w:t>
      </w:r>
    </w:p>
    <w:p w:rsidR="00B01BCA" w:rsidRDefault="00B01BCA" w:rsidP="00026BD8">
      <w:pPr>
        <w:pStyle w:val="BodyText"/>
        <w:spacing w:before="0" w:after="0" w:line="240" w:lineRule="auto"/>
        <w:rPr>
          <w:rFonts w:ascii="Public Sans" w:hAnsi="Public Sans"/>
          <w:color w:val="002060"/>
        </w:rPr>
      </w:pPr>
    </w:p>
    <w:p w:rsidR="00C51F7E" w:rsidRDefault="00C51F7E" w:rsidP="00026BD8">
      <w:pPr>
        <w:pStyle w:val="BodyText"/>
        <w:spacing w:before="0" w:after="0" w:line="240" w:lineRule="auto"/>
        <w:rPr>
          <w:rFonts w:ascii="Public Sans" w:hAnsi="Public Sans"/>
          <w:color w:val="002060"/>
        </w:rPr>
      </w:pPr>
    </w:p>
    <w:p w:rsidR="00B01BCA" w:rsidRDefault="00B01BCA" w:rsidP="00B01BCA">
      <w:pPr>
        <w:pStyle w:val="BodyText"/>
        <w:numPr>
          <w:ilvl w:val="0"/>
          <w:numId w:val="36"/>
        </w:numPr>
        <w:spacing w:before="0" w:after="0" w:line="240" w:lineRule="auto"/>
        <w:ind w:left="426" w:hanging="426"/>
        <w:rPr>
          <w:rFonts w:ascii="Public Sans" w:hAnsi="Public Sans"/>
          <w:b/>
          <w:color w:val="002060"/>
          <w:sz w:val="28"/>
        </w:rPr>
      </w:pPr>
      <w:r w:rsidRPr="00B01BCA">
        <w:rPr>
          <w:rFonts w:ascii="Public Sans" w:hAnsi="Public Sans"/>
          <w:b/>
          <w:color w:val="002060"/>
          <w:sz w:val="28"/>
        </w:rPr>
        <w:t xml:space="preserve">Age </w:t>
      </w:r>
    </w:p>
    <w:p w:rsidR="00BB02B7" w:rsidRPr="00BB02B7" w:rsidRDefault="00BB02B7" w:rsidP="00BB02B7">
      <w:pPr>
        <w:spacing w:before="120"/>
        <w:rPr>
          <w:rFonts w:ascii="Public Sans" w:hAnsi="Public Sans" w:cs="Segoe UI"/>
          <w:sz w:val="22"/>
        </w:rPr>
      </w:pPr>
      <w:r w:rsidRPr="00BB02B7">
        <w:rPr>
          <w:rFonts w:ascii="Public Sans" w:hAnsi="Public Sans" w:cs="Segoe UI"/>
          <w:sz w:val="22"/>
        </w:rPr>
        <w:t>The largest proportion of the 2,777 reports about older people in 2020-21 related to people aged 80-8</w:t>
      </w:r>
      <w:r w:rsidR="00BD29F6">
        <w:rPr>
          <w:rFonts w:ascii="Public Sans" w:hAnsi="Public Sans" w:cs="Segoe UI"/>
          <w:sz w:val="22"/>
        </w:rPr>
        <w:t>9</w:t>
      </w:r>
      <w:r w:rsidRPr="00BB02B7">
        <w:rPr>
          <w:rFonts w:ascii="Public Sans" w:hAnsi="Public Sans" w:cs="Segoe UI"/>
          <w:sz w:val="22"/>
        </w:rPr>
        <w:t xml:space="preserve"> years (</w:t>
      </w:r>
      <w:r w:rsidR="00BD29F6">
        <w:rPr>
          <w:rFonts w:ascii="Public Sans" w:hAnsi="Public Sans" w:cs="Segoe UI"/>
          <w:sz w:val="22"/>
        </w:rPr>
        <w:t>32</w:t>
      </w:r>
      <w:r w:rsidRPr="00BB02B7">
        <w:rPr>
          <w:rFonts w:ascii="Public Sans" w:hAnsi="Public Sans" w:cs="Segoe UI"/>
          <w:sz w:val="22"/>
        </w:rPr>
        <w:t xml:space="preserve">%). </w:t>
      </w:r>
    </w:p>
    <w:p w:rsidR="00BB02B7" w:rsidRPr="003039ED" w:rsidRDefault="00BB02B7" w:rsidP="00BB02B7">
      <w:pPr>
        <w:rPr>
          <w:rFonts w:ascii="Calibri" w:hAnsi="Calibri" w:cs="Segoe UI"/>
          <w:b/>
        </w:rPr>
      </w:pPr>
    </w:p>
    <w:p w:rsidR="00BB02B7" w:rsidRPr="00BB02B7" w:rsidRDefault="00BB02B7" w:rsidP="00BB02B7">
      <w:pPr>
        <w:rPr>
          <w:rFonts w:ascii="Public Sans" w:hAnsi="Public Sans" w:cs="Segoe UI"/>
          <w:b/>
        </w:rPr>
      </w:pPr>
      <w:r w:rsidRPr="00BB02B7">
        <w:rPr>
          <w:rFonts w:ascii="Public Sans" w:hAnsi="Public Sans" w:cs="Segoe UI"/>
          <w:b/>
        </w:rPr>
        <w:t xml:space="preserve">Figure </w:t>
      </w:r>
      <w:r>
        <w:rPr>
          <w:rFonts w:ascii="Public Sans" w:hAnsi="Public Sans" w:cs="Segoe UI"/>
          <w:b/>
        </w:rPr>
        <w:t>4</w:t>
      </w:r>
      <w:r w:rsidRPr="00BB02B7">
        <w:rPr>
          <w:rFonts w:ascii="Public Sans" w:hAnsi="Public Sans" w:cs="Segoe UI"/>
          <w:b/>
        </w:rPr>
        <w:t>: Age of older people the subject of a report to the ADC, 2020-21</w:t>
      </w:r>
    </w:p>
    <w:p w:rsidR="00BB02B7" w:rsidRDefault="00BB02B7" w:rsidP="00BB02B7">
      <w:pPr>
        <w:rPr>
          <w:rFonts w:ascii="Calibri" w:hAnsi="Calibri" w:cs="Segoe UI"/>
          <w:b/>
        </w:rPr>
      </w:pPr>
      <w:r>
        <w:rPr>
          <w:noProof/>
          <w:lang w:eastAsia="en-AU"/>
        </w:rPr>
        <w:drawing>
          <wp:inline distT="0" distB="0" distL="0" distR="0" wp14:anchorId="5B5C58FA" wp14:editId="049B2F03">
            <wp:extent cx="5915025" cy="272415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1BCA" w:rsidRDefault="00B01BCA" w:rsidP="00B01BCA">
      <w:pPr>
        <w:pStyle w:val="BodyText"/>
        <w:spacing w:before="0" w:after="0" w:line="240" w:lineRule="auto"/>
        <w:rPr>
          <w:rFonts w:ascii="Public Sans" w:hAnsi="Public Sans"/>
          <w:b/>
          <w:color w:val="002060"/>
          <w:sz w:val="28"/>
        </w:rPr>
      </w:pPr>
    </w:p>
    <w:p w:rsidR="00C51F7E" w:rsidRPr="00B01BCA" w:rsidRDefault="00C51F7E" w:rsidP="00B01BCA">
      <w:pPr>
        <w:pStyle w:val="BodyText"/>
        <w:spacing w:before="0" w:after="0" w:line="240" w:lineRule="auto"/>
        <w:rPr>
          <w:rFonts w:ascii="Public Sans" w:hAnsi="Public Sans"/>
          <w:b/>
          <w:color w:val="002060"/>
          <w:sz w:val="28"/>
        </w:rPr>
      </w:pPr>
    </w:p>
    <w:p w:rsidR="00BB02B7" w:rsidRDefault="00026BD8" w:rsidP="00BB02B7">
      <w:pPr>
        <w:pStyle w:val="ListParagraph0"/>
        <w:numPr>
          <w:ilvl w:val="0"/>
          <w:numId w:val="36"/>
        </w:numPr>
        <w:spacing w:before="0" w:after="0" w:line="240" w:lineRule="auto"/>
        <w:ind w:left="426" w:hanging="426"/>
        <w:rPr>
          <w:rFonts w:ascii="Public Sans" w:hAnsi="Public Sans"/>
          <w:b/>
          <w:color w:val="002060"/>
          <w:sz w:val="28"/>
        </w:rPr>
      </w:pPr>
      <w:r w:rsidRPr="00BA49D2">
        <w:rPr>
          <w:rFonts w:ascii="Public Sans" w:hAnsi="Public Sans"/>
          <w:b/>
          <w:color w:val="002060"/>
          <w:sz w:val="28"/>
        </w:rPr>
        <w:t xml:space="preserve">Relationship of </w:t>
      </w:r>
      <w:r w:rsidR="00806762">
        <w:rPr>
          <w:rFonts w:ascii="Public Sans" w:hAnsi="Public Sans"/>
          <w:b/>
          <w:color w:val="002060"/>
          <w:sz w:val="28"/>
        </w:rPr>
        <w:t xml:space="preserve">the </w:t>
      </w:r>
      <w:r w:rsidRPr="00BA49D2">
        <w:rPr>
          <w:rFonts w:ascii="Public Sans" w:hAnsi="Public Sans"/>
          <w:b/>
          <w:color w:val="002060"/>
          <w:sz w:val="28"/>
        </w:rPr>
        <w:t xml:space="preserve">reporter to the older person </w:t>
      </w:r>
    </w:p>
    <w:p w:rsidR="00806762" w:rsidRDefault="00026BD8" w:rsidP="007E2C83">
      <w:pPr>
        <w:spacing w:before="120"/>
        <w:rPr>
          <w:rFonts w:ascii="Public Sans" w:eastAsia="Helvetica" w:hAnsi="Public Sans" w:cs="Segoe UI"/>
          <w:sz w:val="22"/>
        </w:rPr>
      </w:pPr>
      <w:r w:rsidRPr="00BB02B7">
        <w:rPr>
          <w:rFonts w:ascii="Public Sans" w:eastAsia="Helvetica" w:hAnsi="Public Sans" w:cs="Segoe UI"/>
          <w:sz w:val="22"/>
        </w:rPr>
        <w:t xml:space="preserve">Adult children were the main source of reports to the ADC about older people in 2020-21, accounting for 29.3% of the 2,777 reports. All up, family members were the reporters in 41.9% of reports about older people. </w:t>
      </w:r>
    </w:p>
    <w:p w:rsidR="00806762" w:rsidRDefault="00806762" w:rsidP="007E2C83">
      <w:pPr>
        <w:spacing w:before="120"/>
        <w:rPr>
          <w:rFonts w:ascii="Public Sans" w:eastAsia="Helvetica" w:hAnsi="Public Sans" w:cs="Segoe UI"/>
          <w:sz w:val="22"/>
        </w:rPr>
      </w:pPr>
    </w:p>
    <w:p w:rsidR="00026BD8" w:rsidRPr="00BB02B7" w:rsidRDefault="00026BD8" w:rsidP="007E2C83">
      <w:pPr>
        <w:spacing w:before="120"/>
        <w:rPr>
          <w:rFonts w:ascii="Public Sans" w:eastAsia="Times New Roman" w:hAnsi="Public Sans" w:cs="Times New Roman"/>
          <w:b/>
          <w:color w:val="002060"/>
          <w:sz w:val="32"/>
        </w:rPr>
      </w:pPr>
      <w:r w:rsidRPr="00BB02B7">
        <w:rPr>
          <w:rFonts w:ascii="Public Sans" w:eastAsia="Helvetica" w:hAnsi="Public Sans" w:cs="Segoe UI"/>
          <w:sz w:val="22"/>
        </w:rPr>
        <w:t xml:space="preserve">Paid workers made over a quarter (26.4%) of the reports about older people, and the older person (‘person experiencing abuse’) was the reporter to the ADC in 16.6% of cases. </w:t>
      </w:r>
    </w:p>
    <w:p w:rsidR="00026BD8" w:rsidRDefault="00026BD8" w:rsidP="00026BD8"/>
    <w:p w:rsidR="00026BD8" w:rsidRDefault="007E2C83" w:rsidP="00026BD8">
      <w:pPr>
        <w:pStyle w:val="BodyText"/>
        <w:spacing w:before="0" w:after="0" w:line="240" w:lineRule="auto"/>
        <w:rPr>
          <w:rFonts w:ascii="Public Sans" w:hAnsi="Public Sans"/>
          <w:color w:val="002060"/>
        </w:rPr>
      </w:pPr>
      <w:r>
        <w:rPr>
          <w:noProof/>
        </w:rPr>
        <w:drawing>
          <wp:anchor distT="0" distB="0" distL="114300" distR="114300" simplePos="0" relativeHeight="251663360" behindDoc="0" locked="0" layoutInCell="1" allowOverlap="1" wp14:anchorId="4DC9C6EB" wp14:editId="50E105E1">
            <wp:simplePos x="0" y="0"/>
            <wp:positionH relativeFrom="margin">
              <wp:posOffset>635</wp:posOffset>
            </wp:positionH>
            <wp:positionV relativeFrom="paragraph">
              <wp:posOffset>209550</wp:posOffset>
            </wp:positionV>
            <wp:extent cx="6019800" cy="259080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026BD8" w:rsidRPr="00EC4DB2">
        <w:rPr>
          <w:rFonts w:ascii="Public Sans" w:eastAsia="Helvetica" w:hAnsi="Public Sans" w:cs="Segoe UI"/>
          <w:b/>
        </w:rPr>
        <w:t>F</w:t>
      </w:r>
      <w:r w:rsidR="00C51F7E">
        <w:rPr>
          <w:rFonts w:ascii="Public Sans" w:eastAsia="Helvetica" w:hAnsi="Public Sans" w:cs="Segoe UI"/>
          <w:b/>
        </w:rPr>
        <w:t>igure 5</w:t>
      </w:r>
      <w:r w:rsidR="00026BD8" w:rsidRPr="00EC4DB2">
        <w:rPr>
          <w:rFonts w:ascii="Public Sans" w:eastAsia="Helvetica" w:hAnsi="Public Sans" w:cs="Segoe UI"/>
          <w:b/>
        </w:rPr>
        <w:t xml:space="preserve">: Relationship of </w:t>
      </w:r>
      <w:r w:rsidR="00C51F7E">
        <w:rPr>
          <w:rFonts w:ascii="Public Sans" w:eastAsia="Helvetica" w:hAnsi="Public Sans" w:cs="Segoe UI"/>
          <w:b/>
        </w:rPr>
        <w:t xml:space="preserve">the </w:t>
      </w:r>
      <w:r w:rsidR="00026BD8" w:rsidRPr="00EC4DB2">
        <w:rPr>
          <w:rFonts w:ascii="Public Sans" w:eastAsia="Helvetica" w:hAnsi="Public Sans" w:cs="Segoe UI"/>
          <w:b/>
        </w:rPr>
        <w:t>reporter to the older person in reports to</w:t>
      </w:r>
      <w:r w:rsidR="00E00F63">
        <w:rPr>
          <w:rFonts w:ascii="Public Sans" w:eastAsia="Helvetica" w:hAnsi="Public Sans" w:cs="Segoe UI"/>
          <w:b/>
        </w:rPr>
        <w:t xml:space="preserve"> the ADC, 2020-21</w:t>
      </w:r>
    </w:p>
    <w:p w:rsidR="00026BD8" w:rsidRDefault="00026BD8" w:rsidP="00026BD8"/>
    <w:p w:rsidR="00026BD8" w:rsidRDefault="00026BD8" w:rsidP="00026BD8">
      <w:pPr>
        <w:pStyle w:val="BodyText"/>
        <w:spacing w:before="0" w:after="0" w:line="240" w:lineRule="auto"/>
        <w:rPr>
          <w:rFonts w:ascii="Public Sans" w:hAnsi="Public Sans"/>
          <w:color w:val="002060"/>
        </w:rPr>
      </w:pPr>
    </w:p>
    <w:p w:rsidR="001122B8" w:rsidRDefault="00026BD8" w:rsidP="001122B8">
      <w:pPr>
        <w:pStyle w:val="BodyText"/>
        <w:numPr>
          <w:ilvl w:val="0"/>
          <w:numId w:val="36"/>
        </w:numPr>
        <w:spacing w:before="0" w:after="0" w:line="240" w:lineRule="auto"/>
        <w:ind w:left="426" w:hanging="426"/>
        <w:rPr>
          <w:rFonts w:ascii="Public Sans" w:hAnsi="Public Sans"/>
          <w:b/>
          <w:color w:val="002060"/>
          <w:sz w:val="28"/>
        </w:rPr>
      </w:pPr>
      <w:r w:rsidRPr="00BA49D2">
        <w:rPr>
          <w:rFonts w:ascii="Public Sans" w:hAnsi="Public Sans"/>
          <w:b/>
          <w:color w:val="002060"/>
          <w:sz w:val="28"/>
        </w:rPr>
        <w:t xml:space="preserve">Relationship of the subject of allegation </w:t>
      </w:r>
      <w:r w:rsidR="00806762">
        <w:rPr>
          <w:rFonts w:ascii="Public Sans" w:hAnsi="Public Sans"/>
          <w:b/>
          <w:color w:val="002060"/>
          <w:sz w:val="28"/>
        </w:rPr>
        <w:t>to the older person</w:t>
      </w:r>
    </w:p>
    <w:p w:rsidR="00806762" w:rsidRDefault="00026BD8" w:rsidP="00C51F7E">
      <w:pPr>
        <w:pStyle w:val="BodyText"/>
        <w:spacing w:after="0" w:line="240" w:lineRule="auto"/>
        <w:rPr>
          <w:rFonts w:ascii="Public Sans" w:eastAsia="Helvetica" w:hAnsi="Public Sans" w:cs="Segoe UI"/>
          <w:sz w:val="22"/>
        </w:rPr>
      </w:pPr>
      <w:r w:rsidRPr="001122B8">
        <w:rPr>
          <w:rFonts w:ascii="Public Sans" w:eastAsia="Helvetica" w:hAnsi="Public Sans" w:cs="Segoe UI"/>
          <w:sz w:val="22"/>
        </w:rPr>
        <w:t xml:space="preserve">The subjects of allegation in over half (54.5%) of the 2,777 reports to the ADC about older people in 2020-21 were the person’s adult children. All up, relatives were the subjects of allegation in almost two-thirds (64%) of the reports about older people. </w:t>
      </w:r>
    </w:p>
    <w:p w:rsidR="00806762" w:rsidRDefault="00806762" w:rsidP="00806762">
      <w:pPr>
        <w:pStyle w:val="BodyText"/>
        <w:spacing w:before="0" w:after="0" w:line="240" w:lineRule="auto"/>
        <w:rPr>
          <w:rFonts w:ascii="Public Sans" w:eastAsia="Helvetica" w:hAnsi="Public Sans" w:cs="Segoe UI"/>
          <w:sz w:val="22"/>
        </w:rPr>
      </w:pPr>
    </w:p>
    <w:p w:rsidR="001122B8" w:rsidRPr="001122B8" w:rsidRDefault="00026BD8" w:rsidP="00806762">
      <w:pPr>
        <w:pStyle w:val="BodyText"/>
        <w:spacing w:before="0" w:after="0" w:line="240" w:lineRule="auto"/>
        <w:rPr>
          <w:rFonts w:ascii="Public Sans" w:eastAsia="Helvetica" w:hAnsi="Public Sans" w:cs="Segoe UI"/>
          <w:sz w:val="22"/>
        </w:rPr>
      </w:pPr>
      <w:r w:rsidRPr="001122B8">
        <w:rPr>
          <w:rFonts w:ascii="Public Sans" w:eastAsia="Helvetica" w:hAnsi="Public Sans" w:cs="Segoe UI"/>
          <w:sz w:val="22"/>
        </w:rPr>
        <w:t xml:space="preserve">Allegations against a spouse or partner (or ex-spouse/ partner) featured in 12% of the reports about older people. </w:t>
      </w:r>
    </w:p>
    <w:p w:rsidR="001122B8" w:rsidRDefault="001122B8" w:rsidP="001122B8">
      <w:pPr>
        <w:pStyle w:val="BodyText"/>
        <w:spacing w:before="0" w:after="0" w:line="240" w:lineRule="auto"/>
        <w:rPr>
          <w:rFonts w:ascii="Public Sans" w:eastAsia="Helvetica" w:hAnsi="Public Sans" w:cs="Segoe UI"/>
        </w:rPr>
      </w:pPr>
    </w:p>
    <w:p w:rsidR="00026BD8" w:rsidRDefault="001122B8" w:rsidP="001122B8">
      <w:pPr>
        <w:pStyle w:val="BodyText"/>
        <w:spacing w:before="0" w:after="0" w:line="240" w:lineRule="auto"/>
        <w:rPr>
          <w:rFonts w:ascii="Public Sans" w:eastAsia="Helvetica" w:hAnsi="Public Sans" w:cs="Segoe UI"/>
          <w:b/>
        </w:rPr>
      </w:pPr>
      <w:r>
        <w:rPr>
          <w:noProof/>
        </w:rPr>
        <w:drawing>
          <wp:anchor distT="0" distB="0" distL="114300" distR="114300" simplePos="0" relativeHeight="251664384" behindDoc="0" locked="0" layoutInCell="1" allowOverlap="1">
            <wp:simplePos x="0" y="0"/>
            <wp:positionH relativeFrom="margin">
              <wp:posOffset>635</wp:posOffset>
            </wp:positionH>
            <wp:positionV relativeFrom="paragraph">
              <wp:posOffset>377190</wp:posOffset>
            </wp:positionV>
            <wp:extent cx="6019800" cy="2242820"/>
            <wp:effectExtent l="0" t="0" r="0" b="5080"/>
            <wp:wrapThrough wrapText="bothSides">
              <wp:wrapPolygon edited="0">
                <wp:start x="0" y="0"/>
                <wp:lineTo x="0" y="21465"/>
                <wp:lineTo x="21532" y="21465"/>
                <wp:lineTo x="21532" y="0"/>
                <wp:lineTo x="0" y="0"/>
              </wp:wrapPolygon>
            </wp:wrapThrough>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r w:rsidR="00026BD8" w:rsidRPr="00EF4B17">
        <w:rPr>
          <w:rFonts w:ascii="Public Sans" w:hAnsi="Public Sans"/>
          <w:b/>
        </w:rPr>
        <w:t xml:space="preserve">Figure </w:t>
      </w:r>
      <w:r w:rsidR="00C51F7E">
        <w:rPr>
          <w:rFonts w:ascii="Public Sans" w:hAnsi="Public Sans"/>
          <w:b/>
        </w:rPr>
        <w:t>6</w:t>
      </w:r>
      <w:r w:rsidR="00026BD8" w:rsidRPr="00EF4B17">
        <w:rPr>
          <w:rFonts w:ascii="Public Sans" w:hAnsi="Public Sans"/>
          <w:b/>
        </w:rPr>
        <w:t xml:space="preserve">: </w:t>
      </w:r>
      <w:r w:rsidR="00026BD8" w:rsidRPr="00EF4B17">
        <w:rPr>
          <w:rFonts w:ascii="Public Sans" w:eastAsia="Helvetica" w:hAnsi="Public Sans" w:cs="Segoe UI"/>
          <w:b/>
        </w:rPr>
        <w:t>Relationship of the subject of allegation to the older person in reports to the ADC, 2020-21</w:t>
      </w:r>
    </w:p>
    <w:p w:rsidR="001122B8" w:rsidRDefault="001122B8" w:rsidP="001122B8">
      <w:pPr>
        <w:pStyle w:val="BodyText"/>
        <w:spacing w:before="0" w:after="0" w:line="240" w:lineRule="auto"/>
        <w:rPr>
          <w:rFonts w:ascii="Public Sans" w:eastAsia="Helvetica" w:hAnsi="Public Sans" w:cs="Segoe UI"/>
          <w:b/>
        </w:rPr>
      </w:pPr>
    </w:p>
    <w:p w:rsidR="00026BD8" w:rsidRPr="00BA49D2" w:rsidRDefault="001462C1" w:rsidP="00BA49D2">
      <w:pPr>
        <w:pStyle w:val="ListParagraph0"/>
        <w:numPr>
          <w:ilvl w:val="0"/>
          <w:numId w:val="36"/>
        </w:numPr>
        <w:spacing w:before="0" w:after="0" w:line="240" w:lineRule="auto"/>
        <w:ind w:left="426" w:hanging="426"/>
        <w:rPr>
          <w:rFonts w:ascii="Public Sans" w:hAnsi="Public Sans"/>
          <w:b/>
          <w:color w:val="002060"/>
          <w:sz w:val="28"/>
        </w:rPr>
      </w:pPr>
      <w:r>
        <w:rPr>
          <w:rFonts w:ascii="Public Sans" w:hAnsi="Public Sans"/>
          <w:b/>
          <w:color w:val="002060"/>
          <w:sz w:val="28"/>
        </w:rPr>
        <w:t>T</w:t>
      </w:r>
      <w:r w:rsidR="00026BD8" w:rsidRPr="00BA49D2">
        <w:rPr>
          <w:rFonts w:ascii="Public Sans" w:hAnsi="Public Sans"/>
          <w:b/>
          <w:color w:val="002060"/>
          <w:sz w:val="28"/>
        </w:rPr>
        <w:t>ype of alleged abuse of older people</w:t>
      </w:r>
    </w:p>
    <w:p w:rsidR="00026BD8" w:rsidRDefault="00026BD8" w:rsidP="00C51F7E">
      <w:pPr>
        <w:spacing w:before="120"/>
        <w:rPr>
          <w:rFonts w:ascii="Public Sans" w:eastAsia="Helvetica" w:hAnsi="Public Sans" w:cs="Segoe UI"/>
          <w:sz w:val="22"/>
        </w:rPr>
      </w:pPr>
      <w:r w:rsidRPr="00EC4DB2">
        <w:rPr>
          <w:rFonts w:ascii="Public Sans" w:eastAsia="Helvetica" w:hAnsi="Public Sans" w:cs="Segoe UI"/>
          <w:sz w:val="22"/>
        </w:rPr>
        <w:t>The most commonly reported types of alleged abuse in relation to older people in 2020-21 were psychological abuse and financial abuse.</w:t>
      </w:r>
    </w:p>
    <w:p w:rsidR="00026BD8" w:rsidRDefault="00026BD8" w:rsidP="00026BD8">
      <w:pPr>
        <w:rPr>
          <w:rFonts w:ascii="Public Sans" w:eastAsia="Helvetica" w:hAnsi="Public Sans" w:cs="Segoe UI"/>
          <w:sz w:val="22"/>
        </w:rPr>
      </w:pPr>
    </w:p>
    <w:p w:rsidR="00C51F7E" w:rsidRDefault="009B6333" w:rsidP="00C51F7E">
      <w:pPr>
        <w:rPr>
          <w:rFonts w:ascii="Public Sans" w:eastAsia="Helvetica" w:hAnsi="Public Sans" w:cs="Segoe UI"/>
          <w:b/>
        </w:rPr>
      </w:pPr>
      <w:r>
        <w:rPr>
          <w:rFonts w:ascii="Public Sans" w:hAnsi="Public Sans"/>
          <w:b/>
        </w:rPr>
        <w:lastRenderedPageBreak/>
        <w:t>F</w:t>
      </w:r>
      <w:r w:rsidR="00C51F7E">
        <w:rPr>
          <w:rFonts w:ascii="Public Sans" w:hAnsi="Public Sans"/>
          <w:b/>
        </w:rPr>
        <w:t>igure 7</w:t>
      </w:r>
      <w:r w:rsidR="00026BD8" w:rsidRPr="00D46C4B">
        <w:rPr>
          <w:rFonts w:ascii="Public Sans" w:hAnsi="Public Sans"/>
          <w:b/>
        </w:rPr>
        <w:t xml:space="preserve">: </w:t>
      </w:r>
      <w:r w:rsidR="00026BD8" w:rsidRPr="00D46C4B">
        <w:rPr>
          <w:rFonts w:ascii="Public Sans" w:eastAsia="Helvetica" w:hAnsi="Public Sans" w:cs="Segoe UI"/>
          <w:b/>
        </w:rPr>
        <w:t>Number of allegations by type of abuse, reports to the ADC about older people, 2020-21</w:t>
      </w:r>
      <w:r w:rsidR="00026BD8" w:rsidRPr="00537590">
        <w:rPr>
          <w:rFonts w:ascii="Public Sans" w:hAnsi="Public Sans"/>
          <w:noProof/>
          <w:sz w:val="24"/>
          <w:lang w:eastAsia="en-AU"/>
        </w:rPr>
        <w:drawing>
          <wp:anchor distT="0" distB="0" distL="114300" distR="114300" simplePos="0" relativeHeight="251662336" behindDoc="0" locked="0" layoutInCell="1" allowOverlap="1" wp14:anchorId="38FE49B4" wp14:editId="0E5E43A1">
            <wp:simplePos x="0" y="0"/>
            <wp:positionH relativeFrom="margin">
              <wp:posOffset>0</wp:posOffset>
            </wp:positionH>
            <wp:positionV relativeFrom="paragraph">
              <wp:posOffset>247015</wp:posOffset>
            </wp:positionV>
            <wp:extent cx="5905500" cy="2738120"/>
            <wp:effectExtent l="0" t="0" r="0" b="508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C51F7E" w:rsidRDefault="00C51F7E" w:rsidP="00C51F7E">
      <w:pPr>
        <w:rPr>
          <w:rFonts w:ascii="Public Sans" w:eastAsia="Helvetica" w:hAnsi="Public Sans" w:cs="Segoe UI"/>
          <w:b/>
        </w:rPr>
      </w:pPr>
    </w:p>
    <w:p w:rsidR="00E00F63" w:rsidRPr="00C51F7E" w:rsidRDefault="00E00F63" w:rsidP="00C51F7E">
      <w:pPr>
        <w:spacing w:after="120"/>
        <w:rPr>
          <w:b/>
          <w:sz w:val="18"/>
        </w:rPr>
      </w:pPr>
      <w:r w:rsidRPr="00E00F63">
        <w:rPr>
          <w:rFonts w:ascii="Public Sans" w:eastAsia="Helvetica" w:hAnsi="Public Sans" w:cs="Segoe UI"/>
          <w:b/>
        </w:rPr>
        <w:t>Table 1: Type of alleged abuse of the older person in reports to the ADC, 2020-21</w:t>
      </w:r>
      <w:r w:rsidRPr="00E00F63">
        <w:rPr>
          <w:rStyle w:val="FootnoteReference"/>
          <w:rFonts w:ascii="Public Sans" w:eastAsia="Helvetica" w:hAnsi="Public Sans" w:cs="Segoe UI"/>
          <w:b/>
        </w:rPr>
        <w:footnoteReference w:id="2"/>
      </w:r>
    </w:p>
    <w:tbl>
      <w:tblPr>
        <w:tblStyle w:val="TableGrid"/>
        <w:tblW w:w="0" w:type="auto"/>
        <w:tblLook w:val="04A0" w:firstRow="1" w:lastRow="0" w:firstColumn="1" w:lastColumn="0" w:noHBand="0" w:noVBand="1"/>
      </w:tblPr>
      <w:tblGrid>
        <w:gridCol w:w="6706"/>
        <w:gridCol w:w="1291"/>
        <w:gridCol w:w="1291"/>
      </w:tblGrid>
      <w:tr w:rsidR="00E00F63" w:rsidRPr="00C51F7E" w:rsidTr="00D64C66">
        <w:tc>
          <w:tcPr>
            <w:tcW w:w="6799" w:type="dxa"/>
            <w:shd w:val="clear" w:color="auto" w:fill="A5CCDF"/>
          </w:tcPr>
          <w:p w:rsidR="00E00F63" w:rsidRPr="00C51F7E" w:rsidRDefault="00E00F63" w:rsidP="00D64C66">
            <w:pPr>
              <w:widowControl w:val="0"/>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Type of alleged abuse</w:t>
            </w:r>
          </w:p>
        </w:tc>
        <w:tc>
          <w:tcPr>
            <w:tcW w:w="1276" w:type="dxa"/>
            <w:shd w:val="clear" w:color="auto" w:fill="A5CCDF"/>
          </w:tcPr>
          <w:p w:rsidR="00E00F63" w:rsidRPr="00C51F7E" w:rsidRDefault="00E00F63" w:rsidP="00D64C66">
            <w:pPr>
              <w:widowControl w:val="0"/>
              <w:jc w:val="right"/>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Number of allegations</w:t>
            </w:r>
          </w:p>
        </w:tc>
        <w:tc>
          <w:tcPr>
            <w:tcW w:w="1276" w:type="dxa"/>
            <w:shd w:val="clear" w:color="auto" w:fill="A5CCDF"/>
          </w:tcPr>
          <w:p w:rsidR="00E00F63" w:rsidRPr="00C51F7E" w:rsidRDefault="00E00F63" w:rsidP="00D64C66">
            <w:pPr>
              <w:widowControl w:val="0"/>
              <w:jc w:val="right"/>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 of all allegations in reports about older people</w:t>
            </w:r>
          </w:p>
        </w:tc>
      </w:tr>
      <w:tr w:rsidR="00E00F63" w:rsidRPr="00C51F7E" w:rsidTr="00D64C66">
        <w:tc>
          <w:tcPr>
            <w:tcW w:w="6799" w:type="dxa"/>
          </w:tcPr>
          <w:p w:rsidR="00E00F63" w:rsidRPr="00C51F7E" w:rsidRDefault="00E00F63" w:rsidP="00C51F7E">
            <w:pPr>
              <w:widowControl w:val="0"/>
              <w:spacing w:before="40" w:after="40"/>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 xml:space="preserve">Psychological abuse </w:t>
            </w:r>
          </w:p>
          <w:p w:rsidR="00E00F63" w:rsidRPr="00C51F7E" w:rsidRDefault="00E00F63" w:rsidP="00C51F7E">
            <w:pPr>
              <w:widowControl w:val="0"/>
              <w:spacing w:before="40" w:after="40"/>
              <w:rPr>
                <w:rFonts w:ascii="Public Sans" w:eastAsia="Times New Roman" w:hAnsi="Public Sans" w:cs="Segoe UI"/>
                <w:color w:val="000000"/>
                <w:szCs w:val="21"/>
                <w:u w:color="000000"/>
              </w:rPr>
            </w:pPr>
          </w:p>
          <w:p w:rsidR="00E00F63" w:rsidRPr="00C51F7E" w:rsidRDefault="00E00F63" w:rsidP="00C51F7E">
            <w:pPr>
              <w:widowControl w:val="0"/>
              <w:spacing w:before="40" w:after="40"/>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(Mainly verbal abuse; preventing or restricting access to family/others; and preventing or restricting access to supports/services)</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1,619</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39.0</w:t>
            </w:r>
          </w:p>
        </w:tc>
      </w:tr>
      <w:tr w:rsidR="00E00F63" w:rsidRPr="00C51F7E" w:rsidTr="00D64C66">
        <w:tc>
          <w:tcPr>
            <w:tcW w:w="6799" w:type="dxa"/>
          </w:tcPr>
          <w:p w:rsidR="00E00F63" w:rsidRPr="00C51F7E" w:rsidRDefault="00E00F63" w:rsidP="00C51F7E">
            <w:pPr>
              <w:widowControl w:val="0"/>
              <w:spacing w:before="40" w:after="40"/>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Financial abuse</w:t>
            </w:r>
          </w:p>
          <w:p w:rsidR="00E00F63" w:rsidRPr="00C51F7E" w:rsidRDefault="00E00F63" w:rsidP="00C51F7E">
            <w:pPr>
              <w:widowControl w:val="0"/>
              <w:spacing w:before="40" w:after="40"/>
              <w:rPr>
                <w:rFonts w:ascii="Public Sans" w:eastAsia="Times New Roman" w:hAnsi="Public Sans" w:cs="Segoe UI"/>
                <w:color w:val="000000"/>
                <w:szCs w:val="21"/>
                <w:u w:color="000000"/>
              </w:rPr>
            </w:pPr>
          </w:p>
          <w:p w:rsidR="00E00F63" w:rsidRPr="00C51F7E" w:rsidRDefault="00E00F63" w:rsidP="00C51F7E">
            <w:pPr>
              <w:widowControl w:val="0"/>
              <w:spacing w:before="40" w:after="40"/>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(Mainly financial exploitation; misuse of Power of Attorney/ Enduring POA; and theft)</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1,216</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29.3</w:t>
            </w:r>
          </w:p>
        </w:tc>
      </w:tr>
      <w:tr w:rsidR="00E00F63" w:rsidRPr="00C51F7E" w:rsidTr="00D64C66">
        <w:tc>
          <w:tcPr>
            <w:tcW w:w="6799" w:type="dxa"/>
          </w:tcPr>
          <w:p w:rsidR="00E00F63" w:rsidRPr="00C51F7E" w:rsidRDefault="00E00F63" w:rsidP="00C51F7E">
            <w:pPr>
              <w:widowControl w:val="0"/>
              <w:spacing w:before="40" w:after="40"/>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Neglect</w:t>
            </w:r>
          </w:p>
          <w:p w:rsidR="00E00F63" w:rsidRPr="00C51F7E" w:rsidRDefault="00E00F63" w:rsidP="00C51F7E">
            <w:pPr>
              <w:widowControl w:val="0"/>
              <w:spacing w:before="40" w:after="40"/>
              <w:rPr>
                <w:rFonts w:ascii="Public Sans" w:eastAsia="Times New Roman" w:hAnsi="Public Sans" w:cs="Segoe UI"/>
                <w:color w:val="000000"/>
                <w:szCs w:val="21"/>
                <w:u w:color="000000"/>
              </w:rPr>
            </w:pPr>
          </w:p>
          <w:p w:rsidR="00E00F63" w:rsidRPr="00C51F7E" w:rsidRDefault="00E00F63" w:rsidP="00C51F7E">
            <w:pPr>
              <w:widowControl w:val="0"/>
              <w:spacing w:before="40" w:after="40"/>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(Mainly failure to meet the person’s support needs; medical neglect; and inadequate clothing or food)</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826</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19.9</w:t>
            </w:r>
          </w:p>
        </w:tc>
      </w:tr>
      <w:tr w:rsidR="00E00F63" w:rsidRPr="00C51F7E" w:rsidTr="00D64C66">
        <w:tc>
          <w:tcPr>
            <w:tcW w:w="6799" w:type="dxa"/>
          </w:tcPr>
          <w:p w:rsidR="00E00F63" w:rsidRPr="00C51F7E" w:rsidRDefault="00E00F63" w:rsidP="00C51F7E">
            <w:pPr>
              <w:widowControl w:val="0"/>
              <w:spacing w:before="40" w:after="40"/>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Physical abuse</w:t>
            </w:r>
          </w:p>
          <w:p w:rsidR="00E00F63" w:rsidRPr="00C51F7E" w:rsidRDefault="00E00F63" w:rsidP="00C51F7E">
            <w:pPr>
              <w:widowControl w:val="0"/>
              <w:spacing w:before="40" w:after="40"/>
              <w:rPr>
                <w:rFonts w:ascii="Public Sans" w:eastAsia="Times New Roman" w:hAnsi="Public Sans" w:cs="Segoe UI"/>
                <w:color w:val="000000"/>
                <w:szCs w:val="21"/>
                <w:u w:color="000000"/>
              </w:rPr>
            </w:pPr>
          </w:p>
          <w:p w:rsidR="00E00F63" w:rsidRPr="00C51F7E" w:rsidRDefault="00E00F63" w:rsidP="00C51F7E">
            <w:pPr>
              <w:widowControl w:val="0"/>
              <w:spacing w:before="40" w:after="40"/>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(Mainly hitting/kicking/punching; and pushing/shoving/grabbing/shaking)</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393</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9.5</w:t>
            </w:r>
          </w:p>
        </w:tc>
      </w:tr>
      <w:tr w:rsidR="00E00F63" w:rsidRPr="00C51F7E" w:rsidTr="00D64C66">
        <w:tc>
          <w:tcPr>
            <w:tcW w:w="6799" w:type="dxa"/>
          </w:tcPr>
          <w:p w:rsidR="00E00F63" w:rsidRPr="00C51F7E" w:rsidRDefault="00E00F63" w:rsidP="00C51F7E">
            <w:pPr>
              <w:widowControl w:val="0"/>
              <w:spacing w:before="40" w:after="40"/>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Sexual abuse</w:t>
            </w:r>
          </w:p>
          <w:p w:rsidR="00E00F63" w:rsidRPr="00C51F7E" w:rsidRDefault="00E00F63" w:rsidP="00C51F7E">
            <w:pPr>
              <w:widowControl w:val="0"/>
              <w:spacing w:before="40" w:after="40"/>
              <w:rPr>
                <w:rFonts w:ascii="Public Sans" w:eastAsia="Times New Roman" w:hAnsi="Public Sans" w:cs="Segoe UI"/>
                <w:color w:val="000000"/>
                <w:szCs w:val="21"/>
                <w:u w:color="000000"/>
              </w:rPr>
            </w:pPr>
          </w:p>
          <w:p w:rsidR="00E00F63" w:rsidRPr="00C51F7E" w:rsidRDefault="00E00F63" w:rsidP="00C51F7E">
            <w:pPr>
              <w:widowControl w:val="0"/>
              <w:spacing w:before="40" w:after="40"/>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(Mainly sexual assault and indecent assault)</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30</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0.7</w:t>
            </w:r>
          </w:p>
        </w:tc>
      </w:tr>
      <w:tr w:rsidR="00E00F63" w:rsidRPr="00C51F7E" w:rsidTr="00D64C66">
        <w:tc>
          <w:tcPr>
            <w:tcW w:w="6799" w:type="dxa"/>
          </w:tcPr>
          <w:p w:rsidR="00E00F63" w:rsidRPr="00C51F7E" w:rsidRDefault="00E00F63" w:rsidP="00C51F7E">
            <w:pPr>
              <w:widowControl w:val="0"/>
              <w:spacing w:before="40" w:after="40"/>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Other</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71</w:t>
            </w:r>
          </w:p>
        </w:tc>
        <w:tc>
          <w:tcPr>
            <w:tcW w:w="1276" w:type="dxa"/>
          </w:tcPr>
          <w:p w:rsidR="00E00F63" w:rsidRPr="00C51F7E" w:rsidRDefault="00E00F63" w:rsidP="00C51F7E">
            <w:pPr>
              <w:widowControl w:val="0"/>
              <w:spacing w:before="40" w:after="40"/>
              <w:jc w:val="right"/>
              <w:rPr>
                <w:rFonts w:ascii="Public Sans" w:eastAsia="Times New Roman" w:hAnsi="Public Sans" w:cs="Segoe UI"/>
                <w:color w:val="000000"/>
                <w:szCs w:val="21"/>
                <w:u w:color="000000"/>
              </w:rPr>
            </w:pPr>
            <w:r w:rsidRPr="00C51F7E">
              <w:rPr>
                <w:rFonts w:ascii="Public Sans" w:eastAsia="Times New Roman" w:hAnsi="Public Sans" w:cs="Segoe UI"/>
                <w:color w:val="000000"/>
                <w:szCs w:val="21"/>
                <w:u w:color="000000"/>
              </w:rPr>
              <w:t>1.7</w:t>
            </w:r>
          </w:p>
        </w:tc>
      </w:tr>
      <w:tr w:rsidR="00E00F63" w:rsidRPr="00C51F7E" w:rsidTr="00D64C66">
        <w:tc>
          <w:tcPr>
            <w:tcW w:w="6799" w:type="dxa"/>
          </w:tcPr>
          <w:p w:rsidR="00E00F63" w:rsidRPr="00C51F7E" w:rsidRDefault="00E00F63" w:rsidP="00C51F7E">
            <w:pPr>
              <w:widowControl w:val="0"/>
              <w:spacing w:before="40" w:after="40"/>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Total allegations in reports about older people</w:t>
            </w:r>
          </w:p>
        </w:tc>
        <w:tc>
          <w:tcPr>
            <w:tcW w:w="1276" w:type="dxa"/>
          </w:tcPr>
          <w:p w:rsidR="00E00F63" w:rsidRPr="00C51F7E" w:rsidRDefault="00E00F63" w:rsidP="00C51F7E">
            <w:pPr>
              <w:widowControl w:val="0"/>
              <w:spacing w:before="40" w:after="40"/>
              <w:jc w:val="right"/>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4,155</w:t>
            </w:r>
          </w:p>
        </w:tc>
        <w:tc>
          <w:tcPr>
            <w:tcW w:w="1276" w:type="dxa"/>
          </w:tcPr>
          <w:p w:rsidR="00E00F63" w:rsidRPr="00C51F7E" w:rsidRDefault="00E00F63" w:rsidP="00C51F7E">
            <w:pPr>
              <w:widowControl w:val="0"/>
              <w:spacing w:before="40" w:after="40"/>
              <w:jc w:val="right"/>
              <w:rPr>
                <w:rFonts w:ascii="Public Sans" w:eastAsia="Times New Roman" w:hAnsi="Public Sans" w:cs="Segoe UI"/>
                <w:b/>
                <w:color w:val="000000"/>
                <w:szCs w:val="21"/>
                <w:u w:color="000000"/>
              </w:rPr>
            </w:pPr>
            <w:r w:rsidRPr="00C51F7E">
              <w:rPr>
                <w:rFonts w:ascii="Public Sans" w:eastAsia="Times New Roman" w:hAnsi="Public Sans" w:cs="Segoe UI"/>
                <w:b/>
                <w:color w:val="000000"/>
                <w:szCs w:val="21"/>
                <w:u w:color="000000"/>
              </w:rPr>
              <w:t>100</w:t>
            </w:r>
          </w:p>
        </w:tc>
      </w:tr>
    </w:tbl>
    <w:p w:rsidR="00026BD8" w:rsidRDefault="00026BD8" w:rsidP="00026BD8"/>
    <w:p w:rsidR="001122B8" w:rsidRDefault="00026BD8" w:rsidP="001122B8">
      <w:pPr>
        <w:rPr>
          <w:rFonts w:ascii="Public Sans" w:hAnsi="Public Sans" w:cs="Segoe UI"/>
          <w:sz w:val="22"/>
        </w:rPr>
      </w:pPr>
      <w:r w:rsidRPr="00D46C4B">
        <w:rPr>
          <w:rFonts w:ascii="Public Sans" w:hAnsi="Public Sans" w:cs="Segoe UI"/>
          <w:sz w:val="22"/>
        </w:rPr>
        <w:lastRenderedPageBreak/>
        <w:t xml:space="preserve">The most common allegations reported in relation to older people related them being verbally abused; not having their support needs met; being financially exploited; and being prevented or restricted from having access to family and others. </w:t>
      </w:r>
    </w:p>
    <w:p w:rsidR="001122B8" w:rsidRDefault="001122B8" w:rsidP="001122B8">
      <w:pPr>
        <w:rPr>
          <w:rFonts w:ascii="Public Sans" w:hAnsi="Public Sans" w:cs="Segoe UI"/>
          <w:sz w:val="22"/>
        </w:rPr>
      </w:pPr>
    </w:p>
    <w:p w:rsidR="00026BD8" w:rsidRDefault="00026BD8" w:rsidP="001122B8">
      <w:pPr>
        <w:rPr>
          <w:rFonts w:ascii="Public Sans" w:eastAsia="Helvetica" w:hAnsi="Public Sans" w:cs="Segoe UI"/>
          <w:b/>
        </w:rPr>
      </w:pPr>
      <w:r w:rsidRPr="00D46C4B">
        <w:rPr>
          <w:rFonts w:ascii="Public Sans" w:eastAsia="Helvetica" w:hAnsi="Public Sans" w:cs="Segoe UI"/>
          <w:b/>
        </w:rPr>
        <w:t>F</w:t>
      </w:r>
      <w:r w:rsidR="00C51F7E">
        <w:rPr>
          <w:rFonts w:ascii="Public Sans" w:eastAsia="Helvetica" w:hAnsi="Public Sans" w:cs="Segoe UI"/>
          <w:b/>
        </w:rPr>
        <w:t>igure 8</w:t>
      </w:r>
      <w:r w:rsidRPr="00D46C4B">
        <w:rPr>
          <w:rFonts w:ascii="Public Sans" w:eastAsia="Helvetica" w:hAnsi="Public Sans" w:cs="Segoe UI"/>
          <w:b/>
        </w:rPr>
        <w:t>: Leading reported allegations in relation to older people, 2020-21</w:t>
      </w:r>
    </w:p>
    <w:p w:rsidR="001122B8" w:rsidRDefault="001122B8" w:rsidP="001122B8"/>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8" w:type="dxa"/>
          <w:right w:w="58" w:type="dxa"/>
        </w:tblCellMar>
        <w:tblLook w:val="04A0" w:firstRow="1" w:lastRow="0" w:firstColumn="1" w:lastColumn="0" w:noHBand="0" w:noVBand="1"/>
      </w:tblPr>
      <w:tblGrid>
        <w:gridCol w:w="382"/>
        <w:gridCol w:w="7270"/>
        <w:gridCol w:w="1559"/>
      </w:tblGrid>
      <w:tr w:rsidR="00026BD8" w:rsidRPr="0059025A" w:rsidTr="00DC1CA2">
        <w:tc>
          <w:tcPr>
            <w:tcW w:w="382" w:type="dxa"/>
            <w:shd w:val="clear" w:color="auto" w:fill="002060"/>
          </w:tcPr>
          <w:p w:rsidR="00026BD8" w:rsidRPr="0059025A" w:rsidRDefault="00026BD8" w:rsidP="00026BD8">
            <w:pPr>
              <w:pStyle w:val="Body"/>
              <w:widowControl w:val="0"/>
              <w:pBdr>
                <w:top w:val="none" w:sz="0" w:space="0" w:color="auto"/>
                <w:left w:val="none" w:sz="0" w:space="0" w:color="auto"/>
                <w:bottom w:val="none" w:sz="0" w:space="0" w:color="auto"/>
                <w:right w:val="none" w:sz="0" w:space="0" w:color="auto"/>
              </w:pBdr>
              <w:rPr>
                <w:rFonts w:ascii="Public Sans" w:eastAsia="Helvetica" w:hAnsi="Public Sans" w:cs="Segoe UI"/>
                <w:color w:val="FFFFFF" w:themeColor="background1"/>
                <w:sz w:val="20"/>
                <w:szCs w:val="21"/>
              </w:rPr>
            </w:pPr>
          </w:p>
        </w:tc>
        <w:tc>
          <w:tcPr>
            <w:tcW w:w="7270" w:type="dxa"/>
            <w:shd w:val="clear" w:color="auto" w:fill="002060"/>
          </w:tcPr>
          <w:p w:rsidR="00026BD8" w:rsidRPr="0059025A" w:rsidRDefault="00026BD8" w:rsidP="00026BD8">
            <w:pPr>
              <w:pStyle w:val="Body"/>
              <w:widowControl w:val="0"/>
              <w:pBdr>
                <w:top w:val="none" w:sz="0" w:space="0" w:color="auto"/>
                <w:left w:val="none" w:sz="0" w:space="0" w:color="auto"/>
                <w:bottom w:val="none" w:sz="0" w:space="0" w:color="auto"/>
                <w:right w:val="none" w:sz="0" w:space="0" w:color="auto"/>
              </w:pBdr>
              <w:rPr>
                <w:rFonts w:ascii="Public Sans" w:eastAsia="Helvetica" w:hAnsi="Public Sans" w:cs="Segoe UI"/>
                <w:b/>
                <w:color w:val="FFFFFF" w:themeColor="background1"/>
                <w:sz w:val="20"/>
                <w:szCs w:val="21"/>
              </w:rPr>
            </w:pPr>
            <w:r w:rsidRPr="0059025A">
              <w:rPr>
                <w:rFonts w:ascii="Public Sans" w:eastAsia="Helvetica" w:hAnsi="Public Sans" w:cs="Segoe UI"/>
                <w:b/>
                <w:color w:val="FFFFFF" w:themeColor="background1"/>
                <w:sz w:val="20"/>
                <w:szCs w:val="21"/>
              </w:rPr>
              <w:t>Reported allegation</w:t>
            </w:r>
          </w:p>
        </w:tc>
        <w:tc>
          <w:tcPr>
            <w:tcW w:w="1559" w:type="dxa"/>
            <w:shd w:val="clear" w:color="auto" w:fill="002060"/>
          </w:tcPr>
          <w:p w:rsidR="00026BD8" w:rsidRPr="0059025A" w:rsidRDefault="00026BD8" w:rsidP="00026BD8">
            <w:pPr>
              <w:pStyle w:val="Body"/>
              <w:widowControl w:val="0"/>
              <w:pBdr>
                <w:top w:val="none" w:sz="0" w:space="0" w:color="auto"/>
                <w:left w:val="none" w:sz="0" w:space="0" w:color="auto"/>
                <w:bottom w:val="none" w:sz="0" w:space="0" w:color="auto"/>
                <w:right w:val="none" w:sz="0" w:space="0" w:color="auto"/>
              </w:pBdr>
              <w:jc w:val="right"/>
              <w:rPr>
                <w:rFonts w:ascii="Public Sans" w:eastAsia="Helvetica" w:hAnsi="Public Sans" w:cs="Segoe UI"/>
                <w:b/>
                <w:color w:val="FFFFFF" w:themeColor="background1"/>
                <w:sz w:val="20"/>
                <w:szCs w:val="21"/>
              </w:rPr>
            </w:pPr>
            <w:r w:rsidRPr="0059025A">
              <w:rPr>
                <w:rFonts w:ascii="Public Sans" w:eastAsia="Helvetica" w:hAnsi="Public Sans" w:cs="Segoe UI"/>
                <w:b/>
                <w:color w:val="FFFFFF" w:themeColor="background1"/>
                <w:sz w:val="20"/>
                <w:szCs w:val="21"/>
              </w:rPr>
              <w:t>Number of cases</w:t>
            </w:r>
          </w:p>
        </w:tc>
      </w:tr>
      <w:tr w:rsidR="00026BD8" w:rsidRPr="0059025A" w:rsidTr="00976BDA">
        <w:tc>
          <w:tcPr>
            <w:tcW w:w="382"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1.</w:t>
            </w:r>
          </w:p>
        </w:tc>
        <w:tc>
          <w:tcPr>
            <w:tcW w:w="7270"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Psychological abuse – verbal abuse</w:t>
            </w:r>
          </w:p>
        </w:tc>
        <w:tc>
          <w:tcPr>
            <w:tcW w:w="1559"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jc w:val="right"/>
              <w:rPr>
                <w:rFonts w:ascii="Public Sans" w:eastAsia="Helvetica" w:hAnsi="Public Sans" w:cs="Segoe UI"/>
                <w:sz w:val="20"/>
                <w:szCs w:val="21"/>
              </w:rPr>
            </w:pPr>
            <w:r w:rsidRPr="0059025A">
              <w:rPr>
                <w:rFonts w:ascii="Public Sans" w:eastAsia="Helvetica" w:hAnsi="Public Sans" w:cs="Segoe UI"/>
                <w:sz w:val="20"/>
                <w:szCs w:val="21"/>
              </w:rPr>
              <w:t>725</w:t>
            </w:r>
          </w:p>
        </w:tc>
      </w:tr>
      <w:tr w:rsidR="00026BD8" w:rsidRPr="0059025A" w:rsidTr="00976BDA">
        <w:tc>
          <w:tcPr>
            <w:tcW w:w="382"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2.</w:t>
            </w:r>
          </w:p>
        </w:tc>
        <w:tc>
          <w:tcPr>
            <w:tcW w:w="7270"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Neglect – failure to meet the adult’s support needs</w:t>
            </w:r>
          </w:p>
        </w:tc>
        <w:tc>
          <w:tcPr>
            <w:tcW w:w="1559"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jc w:val="right"/>
              <w:rPr>
                <w:rFonts w:ascii="Public Sans" w:eastAsia="Helvetica" w:hAnsi="Public Sans" w:cs="Segoe UI"/>
                <w:sz w:val="20"/>
                <w:szCs w:val="21"/>
              </w:rPr>
            </w:pPr>
            <w:r w:rsidRPr="0059025A">
              <w:rPr>
                <w:rFonts w:ascii="Public Sans" w:eastAsia="Helvetica" w:hAnsi="Public Sans" w:cs="Segoe UI"/>
                <w:sz w:val="20"/>
                <w:szCs w:val="21"/>
              </w:rPr>
              <w:t>443</w:t>
            </w:r>
          </w:p>
        </w:tc>
      </w:tr>
      <w:tr w:rsidR="00026BD8" w:rsidRPr="0059025A" w:rsidTr="00976BDA">
        <w:tc>
          <w:tcPr>
            <w:tcW w:w="382"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3.</w:t>
            </w:r>
          </w:p>
        </w:tc>
        <w:tc>
          <w:tcPr>
            <w:tcW w:w="7270"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Financial exploitation</w:t>
            </w:r>
          </w:p>
        </w:tc>
        <w:tc>
          <w:tcPr>
            <w:tcW w:w="1559"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jc w:val="right"/>
              <w:rPr>
                <w:rFonts w:ascii="Public Sans" w:eastAsia="Helvetica" w:hAnsi="Public Sans" w:cs="Segoe UI"/>
                <w:sz w:val="20"/>
                <w:szCs w:val="21"/>
              </w:rPr>
            </w:pPr>
            <w:r w:rsidRPr="0059025A">
              <w:rPr>
                <w:rFonts w:ascii="Public Sans" w:eastAsia="Helvetica" w:hAnsi="Public Sans" w:cs="Segoe UI"/>
                <w:sz w:val="20"/>
                <w:szCs w:val="21"/>
              </w:rPr>
              <w:t>357</w:t>
            </w:r>
          </w:p>
        </w:tc>
      </w:tr>
      <w:tr w:rsidR="00026BD8" w:rsidRPr="0059025A" w:rsidTr="00976BDA">
        <w:tc>
          <w:tcPr>
            <w:tcW w:w="382"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4.</w:t>
            </w:r>
          </w:p>
        </w:tc>
        <w:tc>
          <w:tcPr>
            <w:tcW w:w="7270"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Psychological abuse – preventing or restricting access to family/others</w:t>
            </w:r>
          </w:p>
        </w:tc>
        <w:tc>
          <w:tcPr>
            <w:tcW w:w="1559"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jc w:val="right"/>
              <w:rPr>
                <w:rFonts w:ascii="Public Sans" w:eastAsia="Helvetica" w:hAnsi="Public Sans" w:cs="Segoe UI"/>
                <w:sz w:val="20"/>
                <w:szCs w:val="21"/>
              </w:rPr>
            </w:pPr>
            <w:r w:rsidRPr="0059025A">
              <w:rPr>
                <w:rFonts w:ascii="Public Sans" w:eastAsia="Helvetica" w:hAnsi="Public Sans" w:cs="Segoe UI"/>
                <w:sz w:val="20"/>
                <w:szCs w:val="21"/>
              </w:rPr>
              <w:t>326</w:t>
            </w:r>
          </w:p>
        </w:tc>
      </w:tr>
      <w:tr w:rsidR="00026BD8" w:rsidRPr="0059025A" w:rsidTr="00976BDA">
        <w:tc>
          <w:tcPr>
            <w:tcW w:w="382"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5.</w:t>
            </w:r>
          </w:p>
        </w:tc>
        <w:tc>
          <w:tcPr>
            <w:tcW w:w="7270"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Financial abuse – theft</w:t>
            </w:r>
          </w:p>
        </w:tc>
        <w:tc>
          <w:tcPr>
            <w:tcW w:w="1559"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jc w:val="right"/>
              <w:rPr>
                <w:rFonts w:ascii="Public Sans" w:eastAsia="Helvetica" w:hAnsi="Public Sans" w:cs="Segoe UI"/>
                <w:sz w:val="20"/>
                <w:szCs w:val="21"/>
              </w:rPr>
            </w:pPr>
            <w:r w:rsidRPr="0059025A">
              <w:rPr>
                <w:rFonts w:ascii="Public Sans" w:eastAsia="Helvetica" w:hAnsi="Public Sans" w:cs="Segoe UI"/>
                <w:sz w:val="20"/>
                <w:szCs w:val="21"/>
              </w:rPr>
              <w:t>296</w:t>
            </w:r>
          </w:p>
        </w:tc>
      </w:tr>
      <w:tr w:rsidR="00026BD8" w:rsidRPr="0059025A" w:rsidTr="00976BDA">
        <w:tc>
          <w:tcPr>
            <w:tcW w:w="382"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6.</w:t>
            </w:r>
          </w:p>
        </w:tc>
        <w:tc>
          <w:tcPr>
            <w:tcW w:w="7270"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Financial abuse – misuse of Power of Attorney or Enduring POA</w:t>
            </w:r>
          </w:p>
        </w:tc>
        <w:tc>
          <w:tcPr>
            <w:tcW w:w="1559"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jc w:val="right"/>
              <w:rPr>
                <w:rFonts w:ascii="Public Sans" w:eastAsia="Helvetica" w:hAnsi="Public Sans" w:cs="Segoe UI"/>
                <w:sz w:val="20"/>
                <w:szCs w:val="21"/>
              </w:rPr>
            </w:pPr>
            <w:r w:rsidRPr="0059025A">
              <w:rPr>
                <w:rFonts w:ascii="Public Sans" w:eastAsia="Helvetica" w:hAnsi="Public Sans" w:cs="Segoe UI"/>
                <w:sz w:val="20"/>
                <w:szCs w:val="21"/>
              </w:rPr>
              <w:t>243</w:t>
            </w:r>
          </w:p>
        </w:tc>
      </w:tr>
      <w:tr w:rsidR="00026BD8" w:rsidRPr="0059025A" w:rsidTr="00976BDA">
        <w:tc>
          <w:tcPr>
            <w:tcW w:w="382"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7.</w:t>
            </w:r>
          </w:p>
        </w:tc>
        <w:tc>
          <w:tcPr>
            <w:tcW w:w="7270"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Psychological abuse – other psychological abuse</w:t>
            </w:r>
          </w:p>
        </w:tc>
        <w:tc>
          <w:tcPr>
            <w:tcW w:w="1559"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jc w:val="right"/>
              <w:rPr>
                <w:rFonts w:ascii="Public Sans" w:eastAsia="Helvetica" w:hAnsi="Public Sans" w:cs="Segoe UI"/>
                <w:sz w:val="20"/>
                <w:szCs w:val="21"/>
              </w:rPr>
            </w:pPr>
            <w:r w:rsidRPr="0059025A">
              <w:rPr>
                <w:rFonts w:ascii="Public Sans" w:eastAsia="Helvetica" w:hAnsi="Public Sans" w:cs="Segoe UI"/>
                <w:sz w:val="20"/>
                <w:szCs w:val="21"/>
              </w:rPr>
              <w:t>234</w:t>
            </w:r>
          </w:p>
        </w:tc>
      </w:tr>
      <w:tr w:rsidR="00026BD8" w:rsidRPr="0059025A" w:rsidTr="00976BDA">
        <w:tc>
          <w:tcPr>
            <w:tcW w:w="382"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8.</w:t>
            </w:r>
          </w:p>
        </w:tc>
        <w:tc>
          <w:tcPr>
            <w:tcW w:w="7270"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Psychological abuse – preventing or restricting access to supports/services</w:t>
            </w:r>
          </w:p>
        </w:tc>
        <w:tc>
          <w:tcPr>
            <w:tcW w:w="1559" w:type="dxa"/>
          </w:tcPr>
          <w:p w:rsidR="00026BD8" w:rsidRPr="0059025A" w:rsidRDefault="00026BD8" w:rsidP="004A726F">
            <w:pPr>
              <w:pStyle w:val="Body"/>
              <w:widowControl w:val="0"/>
              <w:pBdr>
                <w:top w:val="none" w:sz="0" w:space="0" w:color="auto"/>
                <w:left w:val="none" w:sz="0" w:space="0" w:color="auto"/>
                <w:bottom w:val="none" w:sz="0" w:space="0" w:color="auto"/>
                <w:right w:val="none" w:sz="0" w:space="0" w:color="auto"/>
              </w:pBdr>
              <w:spacing w:before="40" w:after="40"/>
              <w:jc w:val="right"/>
              <w:rPr>
                <w:rFonts w:ascii="Public Sans" w:eastAsia="Helvetica" w:hAnsi="Public Sans" w:cs="Segoe UI"/>
                <w:sz w:val="20"/>
                <w:szCs w:val="21"/>
              </w:rPr>
            </w:pPr>
            <w:r w:rsidRPr="0059025A">
              <w:rPr>
                <w:rFonts w:ascii="Public Sans" w:eastAsia="Helvetica" w:hAnsi="Public Sans" w:cs="Segoe UI"/>
                <w:sz w:val="20"/>
                <w:szCs w:val="21"/>
              </w:rPr>
              <w:t>168</w:t>
            </w:r>
          </w:p>
        </w:tc>
      </w:tr>
      <w:tr w:rsidR="004A726F" w:rsidRPr="0059025A" w:rsidTr="00976BDA">
        <w:tc>
          <w:tcPr>
            <w:tcW w:w="382" w:type="dxa"/>
          </w:tcPr>
          <w:p w:rsidR="004A726F" w:rsidRPr="0059025A" w:rsidRDefault="004A726F"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9.</w:t>
            </w:r>
          </w:p>
        </w:tc>
        <w:tc>
          <w:tcPr>
            <w:tcW w:w="7270" w:type="dxa"/>
          </w:tcPr>
          <w:p w:rsidR="004A726F" w:rsidRPr="0059025A" w:rsidRDefault="004A726F"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Financial abuse – other financial abuse</w:t>
            </w:r>
          </w:p>
        </w:tc>
        <w:tc>
          <w:tcPr>
            <w:tcW w:w="1559" w:type="dxa"/>
          </w:tcPr>
          <w:p w:rsidR="004A726F" w:rsidRPr="0059025A" w:rsidRDefault="004A726F" w:rsidP="004A726F">
            <w:pPr>
              <w:pStyle w:val="Body"/>
              <w:widowControl w:val="0"/>
              <w:pBdr>
                <w:top w:val="none" w:sz="0" w:space="0" w:color="auto"/>
                <w:left w:val="none" w:sz="0" w:space="0" w:color="auto"/>
                <w:bottom w:val="none" w:sz="0" w:space="0" w:color="auto"/>
                <w:right w:val="none" w:sz="0" w:space="0" w:color="auto"/>
              </w:pBdr>
              <w:spacing w:before="40" w:after="40"/>
              <w:jc w:val="right"/>
              <w:rPr>
                <w:rFonts w:ascii="Public Sans" w:eastAsia="Helvetica" w:hAnsi="Public Sans" w:cs="Segoe UI"/>
                <w:sz w:val="20"/>
                <w:szCs w:val="21"/>
              </w:rPr>
            </w:pPr>
            <w:r w:rsidRPr="0059025A">
              <w:rPr>
                <w:rFonts w:ascii="Public Sans" w:eastAsia="Helvetica" w:hAnsi="Public Sans" w:cs="Segoe UI"/>
                <w:sz w:val="20"/>
                <w:szCs w:val="21"/>
              </w:rPr>
              <w:t>138</w:t>
            </w:r>
          </w:p>
        </w:tc>
      </w:tr>
      <w:tr w:rsidR="004A726F" w:rsidRPr="0059025A" w:rsidTr="00976BDA">
        <w:tc>
          <w:tcPr>
            <w:tcW w:w="382" w:type="dxa"/>
          </w:tcPr>
          <w:p w:rsidR="004A726F" w:rsidRPr="0059025A" w:rsidRDefault="004A726F"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10.</w:t>
            </w:r>
          </w:p>
        </w:tc>
        <w:tc>
          <w:tcPr>
            <w:tcW w:w="7270" w:type="dxa"/>
          </w:tcPr>
          <w:p w:rsidR="004A726F" w:rsidRPr="0059025A" w:rsidRDefault="004A726F" w:rsidP="004A726F">
            <w:pPr>
              <w:pStyle w:val="Body"/>
              <w:widowControl w:val="0"/>
              <w:pBdr>
                <w:top w:val="none" w:sz="0" w:space="0" w:color="auto"/>
                <w:left w:val="none" w:sz="0" w:space="0" w:color="auto"/>
                <w:bottom w:val="none" w:sz="0" w:space="0" w:color="auto"/>
                <w:right w:val="none" w:sz="0" w:space="0" w:color="auto"/>
              </w:pBdr>
              <w:spacing w:before="40" w:after="40"/>
              <w:rPr>
                <w:rFonts w:ascii="Public Sans" w:eastAsia="Helvetica" w:hAnsi="Public Sans" w:cs="Segoe UI"/>
                <w:sz w:val="20"/>
                <w:szCs w:val="21"/>
              </w:rPr>
            </w:pPr>
            <w:r w:rsidRPr="0059025A">
              <w:rPr>
                <w:rFonts w:ascii="Public Sans" w:eastAsia="Helvetica" w:hAnsi="Public Sans" w:cs="Segoe UI"/>
                <w:sz w:val="20"/>
                <w:szCs w:val="21"/>
              </w:rPr>
              <w:t>Neglect – medical care</w:t>
            </w:r>
          </w:p>
        </w:tc>
        <w:tc>
          <w:tcPr>
            <w:tcW w:w="1559" w:type="dxa"/>
          </w:tcPr>
          <w:p w:rsidR="004A726F" w:rsidRPr="0059025A" w:rsidRDefault="004A726F" w:rsidP="004A726F">
            <w:pPr>
              <w:pStyle w:val="Body"/>
              <w:widowControl w:val="0"/>
              <w:pBdr>
                <w:top w:val="none" w:sz="0" w:space="0" w:color="auto"/>
                <w:left w:val="none" w:sz="0" w:space="0" w:color="auto"/>
                <w:bottom w:val="none" w:sz="0" w:space="0" w:color="auto"/>
                <w:right w:val="none" w:sz="0" w:space="0" w:color="auto"/>
              </w:pBdr>
              <w:spacing w:before="40" w:after="40"/>
              <w:jc w:val="right"/>
              <w:rPr>
                <w:rFonts w:ascii="Public Sans" w:eastAsia="Helvetica" w:hAnsi="Public Sans" w:cs="Segoe UI"/>
                <w:sz w:val="20"/>
                <w:szCs w:val="21"/>
              </w:rPr>
            </w:pPr>
            <w:r w:rsidRPr="0059025A">
              <w:rPr>
                <w:rFonts w:ascii="Public Sans" w:eastAsia="Helvetica" w:hAnsi="Public Sans" w:cs="Segoe UI"/>
                <w:sz w:val="20"/>
                <w:szCs w:val="21"/>
              </w:rPr>
              <w:t>126</w:t>
            </w:r>
          </w:p>
        </w:tc>
      </w:tr>
    </w:tbl>
    <w:p w:rsidR="00026BD8" w:rsidRDefault="00026BD8" w:rsidP="00026BD8"/>
    <w:p w:rsidR="00026BD8" w:rsidRDefault="00026BD8" w:rsidP="00026BD8"/>
    <w:p w:rsidR="00026BD8" w:rsidRDefault="00026BD8" w:rsidP="00026BD8"/>
    <w:p w:rsidR="00026BD8" w:rsidRDefault="00026BD8" w:rsidP="00026BD8"/>
    <w:p w:rsidR="00026BD8" w:rsidRPr="00C9744A" w:rsidRDefault="00026BD8" w:rsidP="00026BD8">
      <w:pPr>
        <w:rPr>
          <w:rFonts w:ascii="Public Sans" w:hAnsi="Public Sans"/>
        </w:rPr>
      </w:pPr>
    </w:p>
    <w:p w:rsidR="00026BD8" w:rsidRDefault="00026BD8" w:rsidP="00026BD8"/>
    <w:p w:rsidR="00026BD8" w:rsidRPr="00EA2B19" w:rsidRDefault="00026BD8" w:rsidP="00026BD8"/>
    <w:bookmarkEnd w:id="0"/>
    <w:p w:rsidR="00E737CC" w:rsidRPr="00E737CC" w:rsidRDefault="00E737CC" w:rsidP="00026BD8">
      <w:pPr>
        <w:rPr>
          <w:rFonts w:ascii="Public Sans" w:eastAsia="Times New Roman" w:hAnsi="Public Sans" w:cs="Times New Roman"/>
          <w:sz w:val="22"/>
          <w:szCs w:val="24"/>
          <w:lang w:eastAsia="en-AU"/>
        </w:rPr>
      </w:pPr>
    </w:p>
    <w:sectPr w:rsidR="00E737CC" w:rsidRPr="00E737CC" w:rsidSect="00026BD8">
      <w:headerReference w:type="even" r:id="rId21"/>
      <w:headerReference w:type="default" r:id="rId22"/>
      <w:footerReference w:type="default" r:id="rId23"/>
      <w:headerReference w:type="first" r:id="rId24"/>
      <w:pgSz w:w="11906" w:h="16838" w:code="9"/>
      <w:pgMar w:top="1134" w:right="1304" w:bottom="96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66" w:rsidRDefault="00D64C66" w:rsidP="00185154">
      <w:r>
        <w:separator/>
      </w:r>
    </w:p>
    <w:p w:rsidR="00D64C66" w:rsidRDefault="00D64C66"/>
  </w:endnote>
  <w:endnote w:type="continuationSeparator" w:id="0">
    <w:p w:rsidR="00D64C66" w:rsidRDefault="00D64C66" w:rsidP="00185154">
      <w:r>
        <w:continuationSeparator/>
      </w:r>
    </w:p>
    <w:p w:rsidR="00D64C66" w:rsidRDefault="00D6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Gotham Thin">
    <w:altName w:val="Calibri"/>
    <w:panose1 w:val="00000000000000000000"/>
    <w:charset w:val="00"/>
    <w:family w:val="modern"/>
    <w:notTrueType/>
    <w:pitch w:val="variable"/>
    <w:sig w:usb0="800000AF" w:usb1="50000048" w:usb2="00000000" w:usb3="00000000" w:csb0="00000111" w:csb1="00000000"/>
  </w:font>
  <w:font w:name="Gotham">
    <w:altName w:val="Calibri"/>
    <w:panose1 w:val="0200050405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Klavika Light">
    <w:altName w:val="Times New Roman"/>
    <w:charset w:val="00"/>
    <w:family w:val="auto"/>
    <w:pitch w:val="variable"/>
    <w:sig w:usb0="00000001" w:usb1="5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0000000000000"/>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66" w:rsidRPr="00906562" w:rsidRDefault="00D64C66" w:rsidP="00906562">
    <w:pPr>
      <w:pStyle w:val="Footer"/>
      <w:pBdr>
        <w:top w:val="single" w:sz="4" w:space="1" w:color="D9D9D9"/>
      </w:pBd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66" w:rsidRPr="00906562" w:rsidRDefault="00D64C66" w:rsidP="00906562">
    <w:pPr>
      <w:pStyle w:val="Footer"/>
      <w:pBdr>
        <w:top w:val="single" w:sz="4" w:space="1" w:color="D9D9D9" w:themeColor="background1" w:themeShade="D9"/>
      </w:pBd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62182179"/>
      <w:docPartObj>
        <w:docPartGallery w:val="Page Numbers (Bottom of Page)"/>
        <w:docPartUnique/>
      </w:docPartObj>
    </w:sdtPr>
    <w:sdtEndPr>
      <w:rPr>
        <w:noProof/>
      </w:rPr>
    </w:sdtEndPr>
    <w:sdtContent>
      <w:p w:rsidR="00D64C66" w:rsidRDefault="00D64C66">
        <w:pPr>
          <w:pStyle w:val="Footer"/>
          <w:jc w:val="right"/>
        </w:pPr>
        <w:r>
          <w:rPr>
            <w:noProof w:val="0"/>
          </w:rPr>
          <w:fldChar w:fldCharType="begin"/>
        </w:r>
        <w:r>
          <w:instrText xml:space="preserve"> PAGE   \* MERGEFORMAT </w:instrText>
        </w:r>
        <w:r>
          <w:rPr>
            <w:noProof w:val="0"/>
          </w:rPr>
          <w:fldChar w:fldCharType="separate"/>
        </w:r>
        <w:r w:rsidR="00CA40C4">
          <w:t>10</w:t>
        </w:r>
        <w:r>
          <w:fldChar w:fldCharType="end"/>
        </w:r>
      </w:p>
    </w:sdtContent>
  </w:sdt>
  <w:p w:rsidR="00D64C66" w:rsidRPr="00906562" w:rsidRDefault="00D64C66" w:rsidP="00906562">
    <w:pPr>
      <w:pStyle w:val="Footer"/>
      <w:pBdr>
        <w:top w:val="single" w:sz="4" w:space="1" w:color="D9D9D9" w:themeColor="background1" w:themeShade="D9"/>
      </w:pBd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66" w:rsidRPr="008B1A01" w:rsidRDefault="00D64C66" w:rsidP="00185154">
      <w:pPr>
        <w:rPr>
          <w:color w:val="324851" w:themeColor="accent1"/>
        </w:rPr>
      </w:pPr>
      <w:r w:rsidRPr="008B1A01">
        <w:rPr>
          <w:color w:val="324851" w:themeColor="accent1"/>
        </w:rPr>
        <w:separator/>
      </w:r>
    </w:p>
    <w:p w:rsidR="00D64C66" w:rsidRPr="008B1A01" w:rsidRDefault="00D64C66">
      <w:pPr>
        <w:rPr>
          <w:color w:val="414042" w:themeColor="text2"/>
          <w:sz w:val="6"/>
        </w:rPr>
      </w:pPr>
    </w:p>
  </w:footnote>
  <w:footnote w:type="continuationSeparator" w:id="0">
    <w:p w:rsidR="00D64C66" w:rsidRDefault="00D64C66" w:rsidP="00185154">
      <w:r>
        <w:continuationSeparator/>
      </w:r>
    </w:p>
    <w:p w:rsidR="00D64C66" w:rsidRDefault="00D64C66"/>
  </w:footnote>
  <w:footnote w:id="1">
    <w:p w:rsidR="00D64C66" w:rsidRPr="00BD29F6" w:rsidRDefault="00D64C66" w:rsidP="00026BD8">
      <w:pPr>
        <w:pStyle w:val="FootnoteText"/>
        <w:rPr>
          <w:rFonts w:ascii="Public Sans" w:hAnsi="Public Sans"/>
        </w:rPr>
      </w:pPr>
      <w:r w:rsidRPr="00BD29F6">
        <w:rPr>
          <w:rStyle w:val="FootnoteReference"/>
          <w:rFonts w:ascii="Public Sans" w:hAnsi="Public Sans"/>
        </w:rPr>
        <w:footnoteRef/>
      </w:r>
      <w:r w:rsidRPr="00BD29F6">
        <w:rPr>
          <w:rFonts w:ascii="Public Sans" w:hAnsi="Public Sans"/>
        </w:rPr>
        <w:t xml:space="preserve"> Adults aged 65 years and older, and Aboriginal and/or Torres Strait Islander adults aged 50 years and older.</w:t>
      </w:r>
    </w:p>
  </w:footnote>
  <w:footnote w:id="2">
    <w:p w:rsidR="00D64C66" w:rsidRPr="00E00F63" w:rsidRDefault="00D64C66" w:rsidP="00E00F63">
      <w:pPr>
        <w:pStyle w:val="FootnoteText"/>
        <w:rPr>
          <w:rFonts w:ascii="Public Sans" w:hAnsi="Public Sans" w:cs="Segoe UI"/>
        </w:rPr>
      </w:pPr>
      <w:r w:rsidRPr="00E00F63">
        <w:rPr>
          <w:rStyle w:val="FootnoteReference"/>
          <w:rFonts w:ascii="Public Sans" w:hAnsi="Public Sans" w:cs="Segoe UI"/>
        </w:rPr>
        <w:footnoteRef/>
      </w:r>
      <w:r w:rsidRPr="00E00F63">
        <w:rPr>
          <w:rFonts w:ascii="Public Sans" w:hAnsi="Public Sans" w:cs="Segoe UI"/>
        </w:rPr>
        <w:t xml:space="preserve"> The data captures all matters in which that type of abuse has been reported; in the majority of matters, more than one type of abuse is reported.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66" w:rsidRDefault="00D64C66">
    <w:pPr>
      <w:pStyle w:val="Header"/>
    </w:pPr>
    <w:r>
      <w:rPr>
        <w:noProof/>
        <w:lang w:eastAsia="en-AU"/>
      </w:rPr>
      <w:drawing>
        <wp:anchor distT="0" distB="0" distL="114300" distR="114300" simplePos="0" relativeHeight="251657216" behindDoc="0" locked="1" layoutInCell="1" allowOverlap="1" wp14:anchorId="3083C238" wp14:editId="5A74190F">
          <wp:simplePos x="0" y="0"/>
          <wp:positionH relativeFrom="page">
            <wp:posOffset>6985</wp:posOffset>
          </wp:positionH>
          <wp:positionV relativeFrom="page">
            <wp:posOffset>0</wp:posOffset>
          </wp:positionV>
          <wp:extent cx="7541895" cy="1292225"/>
          <wp:effectExtent l="0" t="0" r="1905" b="3175"/>
          <wp:wrapTopAndBottom/>
          <wp:docPr id="2" name="Picture 2" descr="Ageing and Disability Commission Logo |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ing and Disability Commission Logo |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541895" cy="1292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66" w:rsidRDefault="00D64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66" w:rsidRPr="007B5A24" w:rsidRDefault="00D64C66" w:rsidP="007B5A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66" w:rsidRDefault="00D6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2A92A8B"/>
    <w:multiLevelType w:val="hybridMultilevel"/>
    <w:tmpl w:val="FC5C1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2"/>
      </w:rPr>
    </w:lvl>
    <w:lvl w:ilvl="1">
      <w:start w:val="1"/>
      <w:numFmt w:val="lowerRoman"/>
      <w:pStyle w:val="ListAlpha2"/>
      <w:lvlText w:val="%2."/>
      <w:lvlJc w:val="left"/>
      <w:pPr>
        <w:tabs>
          <w:tab w:val="num" w:pos="1134"/>
        </w:tabs>
        <w:ind w:left="1134" w:hanging="567"/>
      </w:pPr>
      <w:rPr>
        <w:rFonts w:asciiTheme="minorHAnsi" w:hAnsiTheme="minorHAnsi" w:hint="default"/>
        <w:color w:val="auto"/>
        <w:sz w:val="22"/>
      </w:rPr>
    </w:lvl>
    <w:lvl w:ilvl="2">
      <w:start w:val="1"/>
      <w:numFmt w:val="decimal"/>
      <w:pStyle w:val="ListAlpha3"/>
      <w:lvlText w:val="%3."/>
      <w:lvlJc w:val="left"/>
      <w:pPr>
        <w:tabs>
          <w:tab w:val="num" w:pos="1701"/>
        </w:tabs>
        <w:ind w:left="1701" w:hanging="567"/>
      </w:pPr>
      <w:rPr>
        <w:rFonts w:asciiTheme="minorHAnsi" w:hAnsiTheme="minorHAnsi" w:hint="default"/>
        <w:color w:val="auto"/>
        <w:sz w:val="22"/>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2"/>
      </w:rPr>
    </w:lvl>
    <w:lvl w:ilvl="4">
      <w:start w:val="1"/>
      <w:numFmt w:val="upperRoman"/>
      <w:pStyle w:val="ListAlpha5"/>
      <w:lvlText w:val="%5."/>
      <w:lvlJc w:val="left"/>
      <w:pPr>
        <w:tabs>
          <w:tab w:val="num" w:pos="2835"/>
        </w:tabs>
        <w:ind w:left="2835" w:hanging="567"/>
      </w:pPr>
      <w:rPr>
        <w:rFonts w:asciiTheme="minorHAnsi" w:hAnsiTheme="minorHAnsi" w:hint="default"/>
        <w:color w:val="auto"/>
        <w:sz w:val="22"/>
      </w:rPr>
    </w:lvl>
    <w:lvl w:ilvl="5">
      <w:start w:val="1"/>
      <w:numFmt w:val="decimal"/>
      <w:pStyle w:val="ListAlpha6"/>
      <w:lvlText w:val="%6."/>
      <w:lvlJc w:val="left"/>
      <w:pPr>
        <w:tabs>
          <w:tab w:val="num" w:pos="3402"/>
        </w:tabs>
        <w:ind w:left="3402" w:hanging="567"/>
      </w:pPr>
      <w:rPr>
        <w:rFonts w:asciiTheme="minorHAnsi" w:hAnsiTheme="minorHAnsi" w:hint="default"/>
        <w:color w:val="auto"/>
        <w:sz w:val="22"/>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7A914D6"/>
    <w:multiLevelType w:val="multilevel"/>
    <w:tmpl w:val="E73805CA"/>
    <w:lvl w:ilvl="0">
      <w:start w:val="3"/>
      <w:numFmt w:val="decimal"/>
      <w:pStyle w:val="ChapterHeading"/>
      <w:lvlText w:val="Chapter %1"/>
      <w:lvlJc w:val="left"/>
      <w:pPr>
        <w:ind w:left="0" w:firstLine="0"/>
      </w:pPr>
      <w:rPr>
        <w:rFonts w:hint="default"/>
        <w:color w:val="324851"/>
        <w:sz w:val="44"/>
      </w:rPr>
    </w:lvl>
    <w:lvl w:ilvl="1">
      <w:start w:val="1"/>
      <w:numFmt w:val="decimal"/>
      <w:pStyle w:val="NbrHeading1"/>
      <w:lvlText w:val="%2"/>
      <w:lvlJc w:val="left"/>
      <w:pPr>
        <w:tabs>
          <w:tab w:val="num" w:pos="1134"/>
        </w:tabs>
        <w:ind w:left="1134" w:hanging="1134"/>
      </w:pPr>
      <w:rPr>
        <w:rFonts w:hint="default"/>
      </w:rPr>
    </w:lvl>
    <w:lvl w:ilvl="2">
      <w:start w:val="1"/>
      <w:numFmt w:val="decimal"/>
      <w:pStyle w:val="NbrHeading2"/>
      <w:lvlText w:val="%2.%3"/>
      <w:lvlJc w:val="left"/>
      <w:pPr>
        <w:tabs>
          <w:tab w:val="num" w:pos="1418"/>
        </w:tabs>
        <w:ind w:left="1418" w:hanging="1134"/>
      </w:pPr>
      <w:rPr>
        <w:rFonts w:hint="default"/>
      </w:rPr>
    </w:lvl>
    <w:lvl w:ilvl="3">
      <w:start w:val="1"/>
      <w:numFmt w:val="decimal"/>
      <w:pStyle w:val="NbrHeading3"/>
      <w:lvlText w:val="%2.%3.%4"/>
      <w:lvlJc w:val="left"/>
      <w:pPr>
        <w:tabs>
          <w:tab w:val="num" w:pos="1134"/>
        </w:tabs>
        <w:ind w:left="1134" w:hanging="1134"/>
      </w:pPr>
      <w:rPr>
        <w:rFonts w:hint="default"/>
      </w:rPr>
    </w:lvl>
    <w:lvl w:ilvl="4">
      <w:start w:val="1"/>
      <w:numFmt w:val="decimal"/>
      <w:pStyle w:val="NbrHeading4"/>
      <w:lvlText w:val="%2.%3.%4.%5"/>
      <w:lvlJc w:val="left"/>
      <w:pPr>
        <w:tabs>
          <w:tab w:val="num" w:pos="1134"/>
        </w:tabs>
        <w:ind w:left="1134" w:hanging="1134"/>
      </w:pPr>
      <w:rPr>
        <w:rFonts w:hint="default"/>
      </w:rPr>
    </w:lvl>
    <w:lvl w:ilvl="5">
      <w:start w:val="1"/>
      <w:numFmt w:val="decimal"/>
      <w:pStyle w:val="NbrHeading5"/>
      <w:lvlText w:val="%2.%3.%4.%5.%6"/>
      <w:lvlJc w:val="left"/>
      <w:pPr>
        <w:tabs>
          <w:tab w:val="num" w:pos="1134"/>
        </w:tabs>
        <w:ind w:left="1134" w:hanging="1134"/>
      </w:pPr>
      <w:rPr>
        <w:rFonts w:hint="default"/>
      </w:rPr>
    </w:lvl>
    <w:lvl w:ilvl="6">
      <w:start w:val="1"/>
      <w:numFmt w:val="decimal"/>
      <w:lvlText w:val="%2.%3.%4.%5.%6.%7"/>
      <w:lvlJc w:val="left"/>
      <w:pPr>
        <w:tabs>
          <w:tab w:val="num" w:pos="1134"/>
        </w:tabs>
        <w:ind w:left="1134" w:hanging="1134"/>
      </w:pPr>
      <w:rPr>
        <w:rFonts w:hint="default"/>
      </w:rPr>
    </w:lvl>
    <w:lvl w:ilvl="7">
      <w:start w:val="1"/>
      <w:numFmt w:val="decimal"/>
      <w:lvlText w:val="%2.%3.%4.%5.%6.%7.%8"/>
      <w:lvlJc w:val="left"/>
      <w:pPr>
        <w:tabs>
          <w:tab w:val="num" w:pos="1134"/>
        </w:tabs>
        <w:ind w:left="1134" w:hanging="1134"/>
      </w:pPr>
      <w:rPr>
        <w:rFonts w:hint="default"/>
      </w:rPr>
    </w:lvl>
    <w:lvl w:ilvl="8">
      <w:start w:val="1"/>
      <w:numFmt w:val="decimal"/>
      <w:lvlText w:val="%2.%3.%4.%5.%6.%7.%8.%9"/>
      <w:lvlJc w:val="left"/>
      <w:pPr>
        <w:tabs>
          <w:tab w:val="num" w:pos="1134"/>
        </w:tabs>
        <w:ind w:left="1134" w:hanging="1134"/>
      </w:pPr>
      <w:rPr>
        <w:rFonts w:hint="default"/>
      </w:rPr>
    </w:lvl>
  </w:abstractNum>
  <w:abstractNum w:abstractNumId="4" w15:restartNumberingAfterBreak="0">
    <w:nsid w:val="09E37269"/>
    <w:multiLevelType w:val="multilevel"/>
    <w:tmpl w:val="BC2A39FC"/>
    <w:lvl w:ilvl="0">
      <w:start w:val="1"/>
      <w:numFmt w:val="decimal"/>
      <w:pStyle w:val="Contentslistheading1"/>
      <w:lvlText w:val="%1."/>
      <w:lvlJc w:val="left"/>
      <w:pPr>
        <w:ind w:left="717" w:hanging="36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2" w:hanging="1440"/>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656" w:hanging="1800"/>
      </w:pPr>
      <w:rPr>
        <w:rFonts w:hint="default"/>
      </w:rPr>
    </w:lvl>
    <w:lvl w:ilvl="8">
      <w:start w:val="1"/>
      <w:numFmt w:val="decimal"/>
      <w:isLgl/>
      <w:lvlText w:val="%1.%2.%3.%4.%5.%6.%7.%8.%9"/>
      <w:lvlJc w:val="left"/>
      <w:pPr>
        <w:ind w:left="5373" w:hanging="2160"/>
      </w:pPr>
      <w:rPr>
        <w:rFonts w:hint="default"/>
      </w:rPr>
    </w:lvl>
  </w:abstractNum>
  <w:abstractNum w:abstractNumId="5" w15:restartNumberingAfterBreak="0">
    <w:nsid w:val="0B5F7101"/>
    <w:multiLevelType w:val="hybridMultilevel"/>
    <w:tmpl w:val="21B8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D4DAA"/>
    <w:multiLevelType w:val="multilevel"/>
    <w:tmpl w:val="59A6B200"/>
    <w:styleLink w:val="ListTableBullet"/>
    <w:lvl w:ilvl="0">
      <w:start w:val="1"/>
      <w:numFmt w:val="bullet"/>
      <w:pStyle w:val="TableBullet"/>
      <w:lvlText w:val=""/>
      <w:lvlJc w:val="left"/>
      <w:pPr>
        <w:tabs>
          <w:tab w:val="num" w:pos="397"/>
        </w:tabs>
        <w:ind w:left="397" w:hanging="284"/>
      </w:pPr>
      <w:rPr>
        <w:rFonts w:ascii="Wingdings" w:hAnsi="Wingdings" w:hint="default"/>
        <w:color w:val="auto"/>
        <w:sz w:val="20"/>
      </w:rPr>
    </w:lvl>
    <w:lvl w:ilvl="1">
      <w:start w:val="1"/>
      <w:numFmt w:val="bullet"/>
      <w:pStyle w:val="TableBullet2"/>
      <w:lvlText w:val="–"/>
      <w:lvlJc w:val="left"/>
      <w:pPr>
        <w:tabs>
          <w:tab w:val="num" w:pos="680"/>
        </w:tabs>
        <w:ind w:left="680" w:hanging="283"/>
      </w:pPr>
      <w:rPr>
        <w:rFonts w:ascii="Arial" w:hAnsi="Arial"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FB97078"/>
    <w:multiLevelType w:val="multilevel"/>
    <w:tmpl w:val="D8CC95A2"/>
    <w:styleLink w:val="ListChapter"/>
    <w:lvl w:ilvl="0">
      <w:start w:val="1"/>
      <w:numFmt w:val="decimal"/>
      <w:suff w:val="nothing"/>
      <w:lvlText w:val="Chapter %1"/>
      <w:lvlJc w:val="left"/>
      <w:pPr>
        <w:ind w:left="0" w:firstLine="0"/>
      </w:pPr>
      <w:rPr>
        <w:rFonts w:hint="default"/>
        <w:color w:val="324851" w:themeColor="accent1"/>
        <w:sz w:val="44"/>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68D4A13"/>
    <w:multiLevelType w:val="multilevel"/>
    <w:tmpl w:val="59A6B200"/>
    <w:numStyleLink w:val="ListTableBullet"/>
  </w:abstractNum>
  <w:abstractNum w:abstractNumId="9" w15:restartNumberingAfterBreak="0">
    <w:nsid w:val="1723402A"/>
    <w:multiLevelType w:val="multilevel"/>
    <w:tmpl w:val="A4A86740"/>
    <w:lvl w:ilvl="0">
      <w:start w:val="1"/>
      <w:numFmt w:val="none"/>
      <w:pStyle w:val="9TableText"/>
      <w:lvlText w:val=""/>
      <w:lvlJc w:val="left"/>
      <w:pPr>
        <w:tabs>
          <w:tab w:val="num" w:pos="0"/>
        </w:tabs>
        <w:ind w:left="0" w:firstLine="0"/>
      </w:pPr>
    </w:lvl>
    <w:lvl w:ilvl="1">
      <w:start w:val="1"/>
      <w:numFmt w:val="decimal"/>
      <w:pStyle w:val="9aTableHeading"/>
      <w:lvlText w:val="%2%1."/>
      <w:lvlJc w:val="left"/>
      <w:pPr>
        <w:tabs>
          <w:tab w:val="num" w:pos="284"/>
        </w:tabs>
        <w:ind w:left="567" w:hanging="283"/>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D0B71E8"/>
    <w:multiLevelType w:val="hybridMultilevel"/>
    <w:tmpl w:val="AB80CAD8"/>
    <w:lvl w:ilvl="0" w:tplc="AF18A866">
      <w:start w:val="4"/>
      <w:numFmt w:val="bullet"/>
      <w:lvlText w:val="-"/>
      <w:lvlJc w:val="left"/>
      <w:pPr>
        <w:ind w:left="720" w:hanging="360"/>
      </w:pPr>
      <w:rPr>
        <w:rFonts w:ascii="Public Sans" w:eastAsia="Times New Roman"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9273FC"/>
    <w:multiLevelType w:val="multilevel"/>
    <w:tmpl w:val="71203F7E"/>
    <w:name w:val="Headings2"/>
    <w:lvl w:ilvl="0">
      <w:start w:val="1"/>
      <w:numFmt w:val="decimal"/>
      <w:lvlText w:val="Chapter %1"/>
      <w:lvlJc w:val="left"/>
      <w:pPr>
        <w:ind w:left="0" w:firstLine="0"/>
      </w:pPr>
    </w:lvl>
    <w:lvl w:ilvl="1">
      <w:start w:val="1"/>
      <w:numFmt w:val="decimal"/>
      <w:lvlText w:val="%2"/>
      <w:lvlJc w:val="left"/>
      <w:pPr>
        <w:tabs>
          <w:tab w:val="num" w:pos="1134"/>
        </w:tabs>
        <w:ind w:left="1134" w:hanging="1134"/>
      </w:pPr>
    </w:lvl>
    <w:lvl w:ilvl="2">
      <w:start w:val="1"/>
      <w:numFmt w:val="decimal"/>
      <w:lvlText w:val="%2.%3"/>
      <w:lvlJc w:val="left"/>
      <w:pPr>
        <w:tabs>
          <w:tab w:val="num" w:pos="1134"/>
        </w:tabs>
        <w:ind w:left="1134" w:hanging="1134"/>
      </w:pPr>
    </w:lvl>
    <w:lvl w:ilvl="3">
      <w:start w:val="1"/>
      <w:numFmt w:val="decimal"/>
      <w:lvlText w:val="%2.%3.%4"/>
      <w:lvlJc w:val="left"/>
      <w:pPr>
        <w:tabs>
          <w:tab w:val="num" w:pos="1134"/>
        </w:tabs>
        <w:ind w:left="1134" w:hanging="1134"/>
      </w:pPr>
    </w:lvl>
    <w:lvl w:ilvl="4">
      <w:start w:val="1"/>
      <w:numFmt w:val="decimal"/>
      <w:lvlText w:val="%2.%3.%4.%5"/>
      <w:lvlJc w:val="left"/>
      <w:pPr>
        <w:tabs>
          <w:tab w:val="num" w:pos="1134"/>
        </w:tabs>
        <w:ind w:left="1134" w:hanging="1134"/>
      </w:pPr>
    </w:lvl>
    <w:lvl w:ilvl="5">
      <w:start w:val="1"/>
      <w:numFmt w:val="decimal"/>
      <w:lvlText w:val="%2.%3.%4.%5.%6"/>
      <w:lvlJc w:val="left"/>
      <w:pPr>
        <w:tabs>
          <w:tab w:val="num" w:pos="1134"/>
        </w:tabs>
        <w:ind w:left="1134" w:hanging="1134"/>
      </w:pPr>
    </w:lvl>
    <w:lvl w:ilvl="6">
      <w:start w:val="1"/>
      <w:numFmt w:val="decimal"/>
      <w:lvlText w:val="%2.%3.%4.%5.%6.%7"/>
      <w:lvlJc w:val="left"/>
      <w:pPr>
        <w:tabs>
          <w:tab w:val="num" w:pos="1134"/>
        </w:tabs>
        <w:ind w:left="1134" w:hanging="1134"/>
      </w:pPr>
    </w:lvl>
    <w:lvl w:ilvl="7">
      <w:start w:val="1"/>
      <w:numFmt w:val="decimal"/>
      <w:lvlText w:val="%2.%3.%4.%5.%6.%7.%8"/>
      <w:lvlJc w:val="left"/>
      <w:pPr>
        <w:tabs>
          <w:tab w:val="num" w:pos="1134"/>
        </w:tabs>
        <w:ind w:left="1134" w:hanging="1134"/>
      </w:pPr>
    </w:lvl>
    <w:lvl w:ilvl="8">
      <w:start w:val="1"/>
      <w:numFmt w:val="decimal"/>
      <w:lvlText w:val="%2.%3.%4.%5.%6.%7.%8.%9"/>
      <w:lvlJc w:val="left"/>
      <w:pPr>
        <w:tabs>
          <w:tab w:val="num" w:pos="1134"/>
        </w:tabs>
        <w:ind w:left="1134" w:hanging="1134"/>
      </w:pPr>
    </w:lvl>
  </w:abstractNum>
  <w:abstractNum w:abstractNumId="12" w15:restartNumberingAfterBreak="0">
    <w:nsid w:val="22C461C2"/>
    <w:multiLevelType w:val="hybridMultilevel"/>
    <w:tmpl w:val="B86CB340"/>
    <w:lvl w:ilvl="0" w:tplc="C010AEA4">
      <w:start w:val="1"/>
      <w:numFmt w:val="bullet"/>
      <w:lvlText w:val=""/>
      <w:lvlJc w:val="left"/>
      <w:pPr>
        <w:tabs>
          <w:tab w:val="num" w:pos="720"/>
        </w:tabs>
        <w:ind w:left="720" w:hanging="360"/>
      </w:pPr>
      <w:rPr>
        <w:rFonts w:ascii="Wingdings" w:hAnsi="Wingdings" w:hint="default"/>
      </w:rPr>
    </w:lvl>
    <w:lvl w:ilvl="1" w:tplc="56462A84">
      <w:start w:val="1"/>
      <w:numFmt w:val="bullet"/>
      <w:pStyle w:val="BodyBullet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2"/>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2"/>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2"/>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2"/>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2"/>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4" w15:restartNumberingAfterBreak="0">
    <w:nsid w:val="24BC73AE"/>
    <w:multiLevelType w:val="hybridMultilevel"/>
    <w:tmpl w:val="930A6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A3707"/>
    <w:multiLevelType w:val="hybridMultilevel"/>
    <w:tmpl w:val="225A4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5B5392"/>
    <w:multiLevelType w:val="multilevel"/>
    <w:tmpl w:val="960CDAFC"/>
    <w:numStyleLink w:val="ListTableNumber"/>
  </w:abstractNum>
  <w:abstractNum w:abstractNumId="17" w15:restartNumberingAfterBreak="0">
    <w:nsid w:val="2ACC7C1F"/>
    <w:multiLevelType w:val="hybridMultilevel"/>
    <w:tmpl w:val="974484F2"/>
    <w:lvl w:ilvl="0" w:tplc="AC26D7D8">
      <w:start w:val="1"/>
      <w:numFmt w:val="bullet"/>
      <w:pStyle w:val="BQBullet"/>
      <w:lvlText w:val=""/>
      <w:lvlJc w:val="left"/>
      <w:pPr>
        <w:ind w:left="360" w:hanging="360"/>
      </w:pPr>
      <w:rPr>
        <w:rFonts w:ascii="Wingdings" w:hAnsi="Wingdings" w:hint="default"/>
      </w:rPr>
    </w:lvl>
    <w:lvl w:ilvl="1" w:tplc="C1AA5004">
      <w:start w:val="1"/>
      <w:numFmt w:val="bullet"/>
      <w:pStyle w:val="BQbullet2"/>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C1AA5004">
      <w:start w:val="1"/>
      <w:numFmt w:val="bullet"/>
      <w:lvlText w:val="­"/>
      <w:lvlJc w:val="left"/>
      <w:pPr>
        <w:ind w:left="2520" w:hanging="360"/>
      </w:pPr>
      <w:rPr>
        <w:rFonts w:ascii="Courier New" w:hAnsi="Courier New" w:hint="default"/>
      </w:rPr>
    </w:lvl>
    <w:lvl w:ilvl="4" w:tplc="C1AA5004">
      <w:start w:val="1"/>
      <w:numFmt w:val="bullet"/>
      <w:lvlText w:val="­"/>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2318F4"/>
    <w:multiLevelType w:val="hybridMultilevel"/>
    <w:tmpl w:val="19B2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6B37A2"/>
    <w:multiLevelType w:val="hybridMultilevel"/>
    <w:tmpl w:val="E01C1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E503A9"/>
    <w:multiLevelType w:val="hybridMultilevel"/>
    <w:tmpl w:val="71509972"/>
    <w:lvl w:ilvl="0" w:tplc="190E9750">
      <w:start w:val="1"/>
      <w:numFmt w:val="bullet"/>
      <w:pStyle w:val="Bulletpoints"/>
      <w:lvlText w:val=""/>
      <w:lvlJc w:val="left"/>
      <w:pPr>
        <w:ind w:left="720" w:hanging="360"/>
      </w:pPr>
      <w:rPr>
        <w:rFonts w:ascii="Symbol" w:hAnsi="Symbol" w:hint="default"/>
        <w:color w:val="003E7E"/>
      </w:rPr>
    </w:lvl>
    <w:lvl w:ilvl="1" w:tplc="C11E1C3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3912ED"/>
    <w:multiLevelType w:val="multilevel"/>
    <w:tmpl w:val="D3BC7B6E"/>
    <w:styleLink w:val="ListBullet"/>
    <w:lvl w:ilvl="0">
      <w:start w:val="1"/>
      <w:numFmt w:val="bullet"/>
      <w:pStyle w:val="ListBullet0"/>
      <w:lvlText w:val=""/>
      <w:lvlJc w:val="left"/>
      <w:pPr>
        <w:tabs>
          <w:tab w:val="num" w:pos="284"/>
        </w:tabs>
        <w:ind w:left="284" w:hanging="284"/>
      </w:pPr>
      <w:rPr>
        <w:rFonts w:ascii="Wingdings" w:hAnsi="Wingdings" w:hint="default"/>
        <w:b w:val="0"/>
        <w:i w:val="0"/>
        <w:color w:val="auto"/>
        <w:sz w:val="22"/>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2"/>
        <w:u w:val="none"/>
        <w:vertAlign w:val="baseline"/>
      </w:rPr>
    </w:lvl>
    <w:lvl w:ilvl="2">
      <w:start w:val="1"/>
      <w:numFmt w:val="bullet"/>
      <w:pStyle w:val="ListBullet3"/>
      <w:lvlText w:val="□"/>
      <w:lvlJc w:val="left"/>
      <w:pPr>
        <w:tabs>
          <w:tab w:val="num" w:pos="851"/>
        </w:tabs>
        <w:ind w:left="851" w:hanging="284"/>
      </w:pPr>
      <w:rPr>
        <w:rFonts w:ascii="Calibri Light" w:hAnsi="Calibri Light" w:hint="default"/>
        <w:color w:val="auto"/>
        <w:sz w:val="22"/>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2"/>
        <w:u w:val="none"/>
        <w:vertAlign w:val="baseline"/>
      </w:rPr>
    </w:lvl>
    <w:lvl w:ilvl="4">
      <w:start w:val="1"/>
      <w:numFmt w:val="bullet"/>
      <w:pStyle w:val="ListBullet5"/>
      <w:lvlText w:val=""/>
      <w:lvlJc w:val="left"/>
      <w:pPr>
        <w:tabs>
          <w:tab w:val="num" w:pos="1418"/>
        </w:tabs>
        <w:ind w:left="1418" w:hanging="284"/>
      </w:pPr>
      <w:rPr>
        <w:rFonts w:ascii="Wingdings" w:hAnsi="Wingdings" w:hint="default"/>
        <w:color w:val="auto"/>
        <w:sz w:val="22"/>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2" w15:restartNumberingAfterBreak="0">
    <w:nsid w:val="3BBA1E36"/>
    <w:multiLevelType w:val="hybridMultilevel"/>
    <w:tmpl w:val="860ABA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0071FAE"/>
    <w:multiLevelType w:val="multilevel"/>
    <w:tmpl w:val="9A509B6C"/>
    <w:styleLink w:val="ListNumberedHeadings"/>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324851" w:themeColor="accent1"/>
      </w:rPr>
    </w:lvl>
    <w:lvl w:ilvl="2">
      <w:start w:val="1"/>
      <w:numFmt w:val="decimal"/>
      <w:lvlText w:val="%1.%2.%3"/>
      <w:lvlJc w:val="left"/>
      <w:pPr>
        <w:tabs>
          <w:tab w:val="num" w:pos="1134"/>
        </w:tabs>
        <w:ind w:left="1134" w:hanging="1134"/>
      </w:pPr>
      <w:rPr>
        <w:rFonts w:asciiTheme="majorHAnsi" w:hAnsiTheme="majorHAnsi" w:hint="default"/>
        <w:color w:val="324851" w:themeColor="accent1"/>
      </w:rPr>
    </w:lvl>
    <w:lvl w:ilvl="3">
      <w:start w:val="1"/>
      <w:numFmt w:val="decimal"/>
      <w:lvlText w:val="%1.%2.%3.%4"/>
      <w:lvlJc w:val="left"/>
      <w:pPr>
        <w:tabs>
          <w:tab w:val="num" w:pos="1134"/>
        </w:tabs>
        <w:ind w:left="1134" w:hanging="1134"/>
      </w:pPr>
      <w:rPr>
        <w:rFonts w:asciiTheme="majorHAnsi" w:hAnsiTheme="majorHAnsi" w:hint="default"/>
        <w:color w:val="122872" w:themeColor="accent3"/>
        <w:sz w:val="24"/>
      </w:rPr>
    </w:lvl>
    <w:lvl w:ilvl="4">
      <w:start w:val="1"/>
      <w:numFmt w:val="decimal"/>
      <w:lvlText w:val="%1.%2.%3.%4.%5"/>
      <w:lvlJc w:val="left"/>
      <w:pPr>
        <w:tabs>
          <w:tab w:val="num" w:pos="1134"/>
        </w:tabs>
        <w:ind w:left="1134" w:hanging="1134"/>
      </w:pPr>
      <w:rPr>
        <w:rFonts w:asciiTheme="majorHAnsi" w:hAnsiTheme="majorHAnsi" w:hint="default"/>
        <w:color w:val="122872" w:themeColor="accent3"/>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15:restartNumberingAfterBreak="0">
    <w:nsid w:val="44C86130"/>
    <w:multiLevelType w:val="multilevel"/>
    <w:tmpl w:val="E4CC21BE"/>
    <w:lvl w:ilvl="0">
      <w:start w:val="1"/>
      <w:numFmt w:val="decimal"/>
      <w:pStyle w:val="BQHeading1"/>
      <w:lvlText w:val="%1."/>
      <w:lvlJc w:val="left"/>
      <w:pPr>
        <w:ind w:left="851" w:hanging="851"/>
      </w:pPr>
      <w:rPr>
        <w:rFonts w:hint="default"/>
      </w:rPr>
    </w:lvl>
    <w:lvl w:ilvl="1">
      <w:start w:val="1"/>
      <w:numFmt w:val="decimal"/>
      <w:pStyle w:val="BQHeading2"/>
      <w:lvlText w:val="%1.%2."/>
      <w:lvlJc w:val="left"/>
      <w:pPr>
        <w:ind w:left="3829" w:hanging="851"/>
      </w:pPr>
      <w:rPr>
        <w:rFonts w:hint="default"/>
      </w:rPr>
    </w:lvl>
    <w:lvl w:ilvl="2">
      <w:start w:val="1"/>
      <w:numFmt w:val="decimal"/>
      <w:pStyle w:val="BQHeading3"/>
      <w:lvlText w:val="%1.%2.%3."/>
      <w:lvlJc w:val="left"/>
      <w:pPr>
        <w:ind w:left="3260"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011657"/>
    <w:multiLevelType w:val="multilevel"/>
    <w:tmpl w:val="E59AE5F8"/>
    <w:styleLink w:val="ListAppendix"/>
    <w:lvl w:ilvl="0">
      <w:start w:val="1"/>
      <w:numFmt w:val="upperLetter"/>
      <w:pStyle w:val="AppendixTitle"/>
      <w:lvlText w:val="Appendix %1"/>
      <w:lvlJc w:val="left"/>
      <w:pPr>
        <w:tabs>
          <w:tab w:val="num" w:pos="3402"/>
        </w:tabs>
        <w:ind w:left="3402" w:hanging="3402"/>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4C133400"/>
    <w:multiLevelType w:val="hybridMultilevel"/>
    <w:tmpl w:val="69264DE0"/>
    <w:lvl w:ilvl="0" w:tplc="16FAFAB0">
      <w:start w:val="1"/>
      <w:numFmt w:val="decimal"/>
      <w:lvlText w:val="%1."/>
      <w:lvlJc w:val="left"/>
      <w:pPr>
        <w:ind w:left="720" w:hanging="360"/>
      </w:pPr>
      <w:rPr>
        <w:rFonts w:hint="default"/>
        <w:color w:val="002060"/>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F910B1"/>
    <w:multiLevelType w:val="hybridMultilevel"/>
    <w:tmpl w:val="BDBEB646"/>
    <w:lvl w:ilvl="0" w:tplc="3CE45B34">
      <w:start w:val="1"/>
      <w:numFmt w:val="upperLetter"/>
      <w:pStyle w:val="BQsection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C01E3E"/>
    <w:multiLevelType w:val="hybridMultilevel"/>
    <w:tmpl w:val="CF744822"/>
    <w:lvl w:ilvl="0" w:tplc="CF80D8B2">
      <w:start w:val="1"/>
      <w:numFmt w:val="decimal"/>
      <w:pStyle w:val="BQnumberedbullet"/>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9" w15:restartNumberingAfterBreak="0">
    <w:nsid w:val="55777811"/>
    <w:multiLevelType w:val="hybridMultilevel"/>
    <w:tmpl w:val="A9C6AC34"/>
    <w:lvl w:ilvl="0" w:tplc="E4284DE2">
      <w:start w:val="1"/>
      <w:numFmt w:val="bullet"/>
      <w:pStyle w:val="A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2C7CD8"/>
    <w:multiLevelType w:val="hybridMultilevel"/>
    <w:tmpl w:val="94121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9B7172"/>
    <w:multiLevelType w:val="hybridMultilevel"/>
    <w:tmpl w:val="3F78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ED3D31"/>
    <w:multiLevelType w:val="hybridMultilevel"/>
    <w:tmpl w:val="659C6BF2"/>
    <w:lvl w:ilvl="0" w:tplc="AF18A866">
      <w:start w:val="4"/>
      <w:numFmt w:val="bullet"/>
      <w:lvlText w:val="-"/>
      <w:lvlJc w:val="left"/>
      <w:pPr>
        <w:ind w:left="720" w:hanging="360"/>
      </w:pPr>
      <w:rPr>
        <w:rFonts w:ascii="Public Sans" w:eastAsia="Times New Roman"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333F7D"/>
    <w:multiLevelType w:val="hybridMultilevel"/>
    <w:tmpl w:val="AD94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6E5373"/>
    <w:multiLevelType w:val="multilevel"/>
    <w:tmpl w:val="960CDAFC"/>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6580324F"/>
    <w:multiLevelType w:val="hybridMultilevel"/>
    <w:tmpl w:val="D9A669F8"/>
    <w:lvl w:ilvl="0" w:tplc="B7F6F5CC">
      <w:start w:val="1"/>
      <w:numFmt w:val="upperLetter"/>
      <w:pStyle w:val="BQlettered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16351F"/>
    <w:multiLevelType w:val="hybridMultilevel"/>
    <w:tmpl w:val="E1168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052CC2"/>
    <w:multiLevelType w:val="hybridMultilevel"/>
    <w:tmpl w:val="AF3078B6"/>
    <w:lvl w:ilvl="0" w:tplc="0C090001">
      <w:start w:val="1"/>
      <w:numFmt w:val="bullet"/>
      <w:lvlText w:val=""/>
      <w:lvlJc w:val="left"/>
      <w:pPr>
        <w:ind w:left="714" w:hanging="357"/>
      </w:pPr>
      <w:rPr>
        <w:rFonts w:ascii="Symbol" w:hAnsi="Symbol" w:hint="default"/>
        <w:b w:val="0"/>
        <w:i w:val="0"/>
        <w:caps w:val="0"/>
        <w:smallCaps w:val="0"/>
        <w:strike w:val="0"/>
        <w:dstrike w:val="0"/>
        <w:color w:val="000000"/>
        <w:spacing w:val="0"/>
        <w:w w:val="100"/>
        <w:kern w:val="0"/>
        <w:position w:val="0"/>
        <w:vertAlign w:val="baseline"/>
      </w:rPr>
    </w:lvl>
    <w:lvl w:ilvl="1" w:tplc="C4100E86">
      <w:start w:val="1"/>
      <w:numFmt w:val="bullet"/>
      <w:lvlText w:val="o"/>
      <w:lvlJc w:val="left"/>
      <w:pPr>
        <w:ind w:left="143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753E5056">
      <w:start w:val="1"/>
      <w:numFmt w:val="bullet"/>
      <w:lvlText w:val="▪"/>
      <w:lvlJc w:val="left"/>
      <w:pPr>
        <w:ind w:left="215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C9CF626">
      <w:start w:val="1"/>
      <w:numFmt w:val="bullet"/>
      <w:lvlText w:val="•"/>
      <w:lvlJc w:val="left"/>
      <w:pPr>
        <w:ind w:left="2874" w:hanging="357"/>
      </w:pPr>
      <w:rPr>
        <w:rFonts w:ascii="Symbol" w:eastAsia="Times New Roman" w:hAnsi="Symbol"/>
        <w:b w:val="0"/>
        <w:i w:val="0"/>
        <w:caps w:val="0"/>
        <w:smallCaps w:val="0"/>
        <w:strike w:val="0"/>
        <w:dstrike w:val="0"/>
        <w:color w:val="000000"/>
        <w:spacing w:val="0"/>
        <w:w w:val="100"/>
        <w:kern w:val="0"/>
        <w:position w:val="0"/>
        <w:vertAlign w:val="baseline"/>
      </w:rPr>
    </w:lvl>
    <w:lvl w:ilvl="4" w:tplc="B576E1E8">
      <w:start w:val="1"/>
      <w:numFmt w:val="bullet"/>
      <w:lvlText w:val="o"/>
      <w:lvlJc w:val="left"/>
      <w:pPr>
        <w:ind w:left="359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FCA6FFE2">
      <w:start w:val="1"/>
      <w:numFmt w:val="bullet"/>
      <w:lvlText w:val="▪"/>
      <w:lvlJc w:val="left"/>
      <w:pPr>
        <w:ind w:left="431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4AC920">
      <w:start w:val="1"/>
      <w:numFmt w:val="bullet"/>
      <w:lvlText w:val="•"/>
      <w:lvlJc w:val="left"/>
      <w:pPr>
        <w:ind w:left="5034" w:hanging="357"/>
      </w:pPr>
      <w:rPr>
        <w:rFonts w:ascii="Symbol" w:eastAsia="Times New Roman" w:hAnsi="Symbol"/>
        <w:b w:val="0"/>
        <w:i w:val="0"/>
        <w:caps w:val="0"/>
        <w:smallCaps w:val="0"/>
        <w:strike w:val="0"/>
        <w:dstrike w:val="0"/>
        <w:color w:val="000000"/>
        <w:spacing w:val="0"/>
        <w:w w:val="100"/>
        <w:kern w:val="0"/>
        <w:position w:val="0"/>
        <w:vertAlign w:val="baseline"/>
      </w:rPr>
    </w:lvl>
    <w:lvl w:ilvl="7" w:tplc="4E4E54A0">
      <w:start w:val="1"/>
      <w:numFmt w:val="bullet"/>
      <w:lvlText w:val="o"/>
      <w:lvlJc w:val="left"/>
      <w:pPr>
        <w:ind w:left="575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424C3D4">
      <w:start w:val="1"/>
      <w:numFmt w:val="bullet"/>
      <w:lvlText w:val="▪"/>
      <w:lvlJc w:val="left"/>
      <w:pPr>
        <w:ind w:left="647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8" w15:restartNumberingAfterBreak="0">
    <w:nsid w:val="77816E9B"/>
    <w:multiLevelType w:val="hybridMultilevel"/>
    <w:tmpl w:val="C0C02936"/>
    <w:lvl w:ilvl="0" w:tplc="AF18A866">
      <w:start w:val="4"/>
      <w:numFmt w:val="bullet"/>
      <w:lvlText w:val="-"/>
      <w:lvlJc w:val="left"/>
      <w:pPr>
        <w:ind w:left="720" w:hanging="360"/>
      </w:pPr>
      <w:rPr>
        <w:rFonts w:ascii="Public Sans" w:eastAsia="Times New Roman"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076B01"/>
    <w:multiLevelType w:val="hybridMultilevel"/>
    <w:tmpl w:val="C51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33FD7"/>
    <w:multiLevelType w:val="hybridMultilevel"/>
    <w:tmpl w:val="C5AE4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1"/>
  </w:num>
  <w:num w:numId="4">
    <w:abstractNumId w:val="7"/>
  </w:num>
  <w:num w:numId="5">
    <w:abstractNumId w:val="13"/>
  </w:num>
  <w:num w:numId="6">
    <w:abstractNumId w:val="23"/>
  </w:num>
  <w:num w:numId="7">
    <w:abstractNumId w:val="0"/>
  </w:num>
  <w:num w:numId="8">
    <w:abstractNumId w:val="6"/>
  </w:num>
  <w:num w:numId="9">
    <w:abstractNumId w:val="34"/>
  </w:num>
  <w:num w:numId="10">
    <w:abstractNumId w:val="8"/>
  </w:num>
  <w:num w:numId="11">
    <w:abstractNumId w:val="16"/>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2"/>
  </w:num>
  <w:num w:numId="16">
    <w:abstractNumId w:val="28"/>
  </w:num>
  <w:num w:numId="17">
    <w:abstractNumId w:val="27"/>
  </w:num>
  <w:num w:numId="18">
    <w:abstractNumId w:val="24"/>
  </w:num>
  <w:num w:numId="19">
    <w:abstractNumId w:val="35"/>
  </w:num>
  <w:num w:numId="20">
    <w:abstractNumId w:val="4"/>
  </w:num>
  <w:num w:numId="21">
    <w:abstractNumId w:val="20"/>
  </w:num>
  <w:num w:numId="22">
    <w:abstractNumId w:val="3"/>
  </w:num>
  <w:num w:numId="23">
    <w:abstractNumId w:val="37"/>
  </w:num>
  <w:num w:numId="24">
    <w:abstractNumId w:val="19"/>
  </w:num>
  <w:num w:numId="25">
    <w:abstractNumId w:val="5"/>
  </w:num>
  <w:num w:numId="26">
    <w:abstractNumId w:val="18"/>
  </w:num>
  <w:num w:numId="27">
    <w:abstractNumId w:val="14"/>
  </w:num>
  <w:num w:numId="28">
    <w:abstractNumId w:val="30"/>
  </w:num>
  <w:num w:numId="29">
    <w:abstractNumId w:val="22"/>
  </w:num>
  <w:num w:numId="30">
    <w:abstractNumId w:val="26"/>
  </w:num>
  <w:num w:numId="31">
    <w:abstractNumId w:val="38"/>
  </w:num>
  <w:num w:numId="32">
    <w:abstractNumId w:val="31"/>
  </w:num>
  <w:num w:numId="33">
    <w:abstractNumId w:val="10"/>
  </w:num>
  <w:num w:numId="34">
    <w:abstractNumId w:val="32"/>
  </w:num>
  <w:num w:numId="35">
    <w:abstractNumId w:val="39"/>
  </w:num>
  <w:num w:numId="36">
    <w:abstractNumId w:val="36"/>
  </w:num>
  <w:num w:numId="37">
    <w:abstractNumId w:val="1"/>
  </w:num>
  <w:num w:numId="38">
    <w:abstractNumId w:val="40"/>
  </w:num>
  <w:num w:numId="39">
    <w:abstractNumId w:val="15"/>
  </w:num>
  <w:num w:numId="4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formatting="1" w:enforcement="1" w:cryptProviderType="rsaAES" w:cryptAlgorithmClass="hash" w:cryptAlgorithmType="typeAny" w:cryptAlgorithmSid="14" w:cryptSpinCount="100000" w:hash="sbXvjx0fWQDylN3/1f18VVdhxYKQcjpQMrCzHZeIGb+CrsZcoPXqjcGGitw9fa6LsTYbpkEK2g8QlgiFtCDmBA==" w:salt="yxD8hCh1wXvT75r5c8G0S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E"/>
    <w:rsid w:val="00002861"/>
    <w:rsid w:val="0000430B"/>
    <w:rsid w:val="000048CC"/>
    <w:rsid w:val="00006100"/>
    <w:rsid w:val="0001758B"/>
    <w:rsid w:val="00017658"/>
    <w:rsid w:val="0001783B"/>
    <w:rsid w:val="00020265"/>
    <w:rsid w:val="00020407"/>
    <w:rsid w:val="00020E49"/>
    <w:rsid w:val="00021BEC"/>
    <w:rsid w:val="00023758"/>
    <w:rsid w:val="00026BD8"/>
    <w:rsid w:val="00027ED6"/>
    <w:rsid w:val="00027F3E"/>
    <w:rsid w:val="00030C16"/>
    <w:rsid w:val="00030CF5"/>
    <w:rsid w:val="00031A84"/>
    <w:rsid w:val="000357BD"/>
    <w:rsid w:val="00040869"/>
    <w:rsid w:val="00041D11"/>
    <w:rsid w:val="000427B8"/>
    <w:rsid w:val="000427DD"/>
    <w:rsid w:val="00043E75"/>
    <w:rsid w:val="00045650"/>
    <w:rsid w:val="00045892"/>
    <w:rsid w:val="00047E63"/>
    <w:rsid w:val="00052DB5"/>
    <w:rsid w:val="00052E3A"/>
    <w:rsid w:val="00061976"/>
    <w:rsid w:val="00062021"/>
    <w:rsid w:val="00063A52"/>
    <w:rsid w:val="00065270"/>
    <w:rsid w:val="00071C7D"/>
    <w:rsid w:val="000728BE"/>
    <w:rsid w:val="0007313C"/>
    <w:rsid w:val="00075273"/>
    <w:rsid w:val="00075A6A"/>
    <w:rsid w:val="00076F97"/>
    <w:rsid w:val="00080ED4"/>
    <w:rsid w:val="00083ED9"/>
    <w:rsid w:val="000870BB"/>
    <w:rsid w:val="00087D93"/>
    <w:rsid w:val="000951C1"/>
    <w:rsid w:val="000954FB"/>
    <w:rsid w:val="0009575F"/>
    <w:rsid w:val="0009582C"/>
    <w:rsid w:val="000974C3"/>
    <w:rsid w:val="00097AFC"/>
    <w:rsid w:val="000A356B"/>
    <w:rsid w:val="000A3AC2"/>
    <w:rsid w:val="000A4D3C"/>
    <w:rsid w:val="000B18F5"/>
    <w:rsid w:val="000B3EBE"/>
    <w:rsid w:val="000B49AF"/>
    <w:rsid w:val="000B6FA1"/>
    <w:rsid w:val="000C0C22"/>
    <w:rsid w:val="000C0E38"/>
    <w:rsid w:val="000C1D1E"/>
    <w:rsid w:val="000C2279"/>
    <w:rsid w:val="000C28C9"/>
    <w:rsid w:val="000C30E3"/>
    <w:rsid w:val="000C3C9C"/>
    <w:rsid w:val="000C44ED"/>
    <w:rsid w:val="000C67FA"/>
    <w:rsid w:val="000C6825"/>
    <w:rsid w:val="000D001C"/>
    <w:rsid w:val="000D651C"/>
    <w:rsid w:val="000D7030"/>
    <w:rsid w:val="000E1782"/>
    <w:rsid w:val="000E5B68"/>
    <w:rsid w:val="000E715B"/>
    <w:rsid w:val="000F13D6"/>
    <w:rsid w:val="000F40AE"/>
    <w:rsid w:val="000F4A35"/>
    <w:rsid w:val="000F5E74"/>
    <w:rsid w:val="000F65AD"/>
    <w:rsid w:val="000F7C91"/>
    <w:rsid w:val="00102C02"/>
    <w:rsid w:val="001050B0"/>
    <w:rsid w:val="001063C6"/>
    <w:rsid w:val="00106733"/>
    <w:rsid w:val="0010673A"/>
    <w:rsid w:val="00110144"/>
    <w:rsid w:val="00110AED"/>
    <w:rsid w:val="001122B8"/>
    <w:rsid w:val="0011275A"/>
    <w:rsid w:val="001129AF"/>
    <w:rsid w:val="0011334B"/>
    <w:rsid w:val="001151A5"/>
    <w:rsid w:val="00115817"/>
    <w:rsid w:val="00121C20"/>
    <w:rsid w:val="00124C0B"/>
    <w:rsid w:val="00125C9B"/>
    <w:rsid w:val="00126C81"/>
    <w:rsid w:val="0013218E"/>
    <w:rsid w:val="00132E1E"/>
    <w:rsid w:val="00132E7C"/>
    <w:rsid w:val="00134328"/>
    <w:rsid w:val="001366CE"/>
    <w:rsid w:val="00136A8D"/>
    <w:rsid w:val="001370D3"/>
    <w:rsid w:val="001417BF"/>
    <w:rsid w:val="00141B3D"/>
    <w:rsid w:val="001444E8"/>
    <w:rsid w:val="00145CCD"/>
    <w:rsid w:val="0014606C"/>
    <w:rsid w:val="001462C1"/>
    <w:rsid w:val="00146D89"/>
    <w:rsid w:val="00147215"/>
    <w:rsid w:val="001505D8"/>
    <w:rsid w:val="0015103C"/>
    <w:rsid w:val="00154790"/>
    <w:rsid w:val="00156423"/>
    <w:rsid w:val="00157388"/>
    <w:rsid w:val="001600E5"/>
    <w:rsid w:val="00161E28"/>
    <w:rsid w:val="00163CE0"/>
    <w:rsid w:val="0016404F"/>
    <w:rsid w:val="00172E58"/>
    <w:rsid w:val="00180213"/>
    <w:rsid w:val="001805BE"/>
    <w:rsid w:val="00181B2B"/>
    <w:rsid w:val="001829A7"/>
    <w:rsid w:val="00182E03"/>
    <w:rsid w:val="00185154"/>
    <w:rsid w:val="00185BAF"/>
    <w:rsid w:val="0019114D"/>
    <w:rsid w:val="001915C0"/>
    <w:rsid w:val="0019673C"/>
    <w:rsid w:val="001A12F5"/>
    <w:rsid w:val="001A29B2"/>
    <w:rsid w:val="001A2E2E"/>
    <w:rsid w:val="001A6E90"/>
    <w:rsid w:val="001B28B1"/>
    <w:rsid w:val="001C12AF"/>
    <w:rsid w:val="001C4A61"/>
    <w:rsid w:val="001C59CB"/>
    <w:rsid w:val="001D0F05"/>
    <w:rsid w:val="001D14A4"/>
    <w:rsid w:val="001E01A6"/>
    <w:rsid w:val="001E064E"/>
    <w:rsid w:val="001E0CA6"/>
    <w:rsid w:val="001E0D8A"/>
    <w:rsid w:val="001E20AD"/>
    <w:rsid w:val="001E2C09"/>
    <w:rsid w:val="001E2DBC"/>
    <w:rsid w:val="001E3051"/>
    <w:rsid w:val="001E3997"/>
    <w:rsid w:val="001E46B7"/>
    <w:rsid w:val="001F06AF"/>
    <w:rsid w:val="001F0AA2"/>
    <w:rsid w:val="001F15A1"/>
    <w:rsid w:val="001F16CA"/>
    <w:rsid w:val="001F2CDD"/>
    <w:rsid w:val="001F38DD"/>
    <w:rsid w:val="001F3DB4"/>
    <w:rsid w:val="001F79B9"/>
    <w:rsid w:val="00202402"/>
    <w:rsid w:val="002044B2"/>
    <w:rsid w:val="00204825"/>
    <w:rsid w:val="002078C1"/>
    <w:rsid w:val="00207B66"/>
    <w:rsid w:val="002106C4"/>
    <w:rsid w:val="00210DEF"/>
    <w:rsid w:val="00211DB0"/>
    <w:rsid w:val="002121E4"/>
    <w:rsid w:val="0021459E"/>
    <w:rsid w:val="002168E8"/>
    <w:rsid w:val="0021716F"/>
    <w:rsid w:val="00217D57"/>
    <w:rsid w:val="0022099E"/>
    <w:rsid w:val="00222215"/>
    <w:rsid w:val="00222662"/>
    <w:rsid w:val="002255D2"/>
    <w:rsid w:val="0022567D"/>
    <w:rsid w:val="00227B88"/>
    <w:rsid w:val="00230D29"/>
    <w:rsid w:val="00235CC7"/>
    <w:rsid w:val="00236218"/>
    <w:rsid w:val="00236C7F"/>
    <w:rsid w:val="0023715A"/>
    <w:rsid w:val="00243E30"/>
    <w:rsid w:val="00244359"/>
    <w:rsid w:val="002448BF"/>
    <w:rsid w:val="002451D2"/>
    <w:rsid w:val="0025119D"/>
    <w:rsid w:val="00251500"/>
    <w:rsid w:val="00252201"/>
    <w:rsid w:val="00254DD8"/>
    <w:rsid w:val="00257035"/>
    <w:rsid w:val="0026022C"/>
    <w:rsid w:val="00261325"/>
    <w:rsid w:val="002633D9"/>
    <w:rsid w:val="00263C53"/>
    <w:rsid w:val="00264548"/>
    <w:rsid w:val="00265B89"/>
    <w:rsid w:val="00265DE0"/>
    <w:rsid w:val="00267DF7"/>
    <w:rsid w:val="002729B7"/>
    <w:rsid w:val="00273B0C"/>
    <w:rsid w:val="002741AA"/>
    <w:rsid w:val="00277013"/>
    <w:rsid w:val="002837BA"/>
    <w:rsid w:val="00284DC0"/>
    <w:rsid w:val="00286BA3"/>
    <w:rsid w:val="0028741E"/>
    <w:rsid w:val="00287AA1"/>
    <w:rsid w:val="00292C72"/>
    <w:rsid w:val="002930A0"/>
    <w:rsid w:val="002937FD"/>
    <w:rsid w:val="00293E58"/>
    <w:rsid w:val="002959A9"/>
    <w:rsid w:val="002A0B4A"/>
    <w:rsid w:val="002A0D56"/>
    <w:rsid w:val="002A3573"/>
    <w:rsid w:val="002A521C"/>
    <w:rsid w:val="002A7F4C"/>
    <w:rsid w:val="002B0D58"/>
    <w:rsid w:val="002B2CE2"/>
    <w:rsid w:val="002B4003"/>
    <w:rsid w:val="002B5DB1"/>
    <w:rsid w:val="002B60F3"/>
    <w:rsid w:val="002B63EE"/>
    <w:rsid w:val="002B7190"/>
    <w:rsid w:val="002B7B30"/>
    <w:rsid w:val="002C0295"/>
    <w:rsid w:val="002C1D2C"/>
    <w:rsid w:val="002C2ABC"/>
    <w:rsid w:val="002C5B1C"/>
    <w:rsid w:val="002C5CE2"/>
    <w:rsid w:val="002D1871"/>
    <w:rsid w:val="002D408C"/>
    <w:rsid w:val="002D4254"/>
    <w:rsid w:val="002D4E6E"/>
    <w:rsid w:val="002D6D67"/>
    <w:rsid w:val="002D7803"/>
    <w:rsid w:val="002E04A4"/>
    <w:rsid w:val="002E16C4"/>
    <w:rsid w:val="002E28D6"/>
    <w:rsid w:val="002E3140"/>
    <w:rsid w:val="002E31FC"/>
    <w:rsid w:val="002E6048"/>
    <w:rsid w:val="002E6FA7"/>
    <w:rsid w:val="002E7B92"/>
    <w:rsid w:val="002E7C5D"/>
    <w:rsid w:val="002F1516"/>
    <w:rsid w:val="002F2757"/>
    <w:rsid w:val="002F30EF"/>
    <w:rsid w:val="002F33F2"/>
    <w:rsid w:val="002F4862"/>
    <w:rsid w:val="002F7A7B"/>
    <w:rsid w:val="0030086E"/>
    <w:rsid w:val="0030138A"/>
    <w:rsid w:val="00301893"/>
    <w:rsid w:val="00302AF9"/>
    <w:rsid w:val="00303CE6"/>
    <w:rsid w:val="003109EA"/>
    <w:rsid w:val="00313082"/>
    <w:rsid w:val="00317AD9"/>
    <w:rsid w:val="00317DCD"/>
    <w:rsid w:val="00317F97"/>
    <w:rsid w:val="0032160C"/>
    <w:rsid w:val="00324815"/>
    <w:rsid w:val="00326A18"/>
    <w:rsid w:val="00327281"/>
    <w:rsid w:val="00327606"/>
    <w:rsid w:val="00327808"/>
    <w:rsid w:val="00330249"/>
    <w:rsid w:val="00330BBD"/>
    <w:rsid w:val="0033199D"/>
    <w:rsid w:val="00333019"/>
    <w:rsid w:val="00340822"/>
    <w:rsid w:val="003411DD"/>
    <w:rsid w:val="00341A02"/>
    <w:rsid w:val="003431F3"/>
    <w:rsid w:val="00344196"/>
    <w:rsid w:val="00352A49"/>
    <w:rsid w:val="00353379"/>
    <w:rsid w:val="00354F44"/>
    <w:rsid w:val="00355798"/>
    <w:rsid w:val="00355F98"/>
    <w:rsid w:val="00362EF4"/>
    <w:rsid w:val="00364ADE"/>
    <w:rsid w:val="0036525E"/>
    <w:rsid w:val="00366093"/>
    <w:rsid w:val="00371ADA"/>
    <w:rsid w:val="00373092"/>
    <w:rsid w:val="0037398C"/>
    <w:rsid w:val="00373A54"/>
    <w:rsid w:val="0037618F"/>
    <w:rsid w:val="0037697D"/>
    <w:rsid w:val="00376D2B"/>
    <w:rsid w:val="00383BC7"/>
    <w:rsid w:val="00383CD4"/>
    <w:rsid w:val="003853C1"/>
    <w:rsid w:val="00390BBF"/>
    <w:rsid w:val="00393355"/>
    <w:rsid w:val="00393BAD"/>
    <w:rsid w:val="00394D27"/>
    <w:rsid w:val="00395F81"/>
    <w:rsid w:val="00396043"/>
    <w:rsid w:val="003973B7"/>
    <w:rsid w:val="003A04C1"/>
    <w:rsid w:val="003A08A5"/>
    <w:rsid w:val="003A54B9"/>
    <w:rsid w:val="003A6940"/>
    <w:rsid w:val="003B0945"/>
    <w:rsid w:val="003B097F"/>
    <w:rsid w:val="003B4DCF"/>
    <w:rsid w:val="003B70BB"/>
    <w:rsid w:val="003B7F84"/>
    <w:rsid w:val="003C04F5"/>
    <w:rsid w:val="003C185A"/>
    <w:rsid w:val="003C2A48"/>
    <w:rsid w:val="003C4DEF"/>
    <w:rsid w:val="003C74B1"/>
    <w:rsid w:val="003D3B71"/>
    <w:rsid w:val="003D4601"/>
    <w:rsid w:val="003D49AE"/>
    <w:rsid w:val="003D4A27"/>
    <w:rsid w:val="003D56AF"/>
    <w:rsid w:val="003D5E7B"/>
    <w:rsid w:val="003D5FB0"/>
    <w:rsid w:val="003D6538"/>
    <w:rsid w:val="003D7428"/>
    <w:rsid w:val="003D7516"/>
    <w:rsid w:val="003E0225"/>
    <w:rsid w:val="003E1EF3"/>
    <w:rsid w:val="003E5319"/>
    <w:rsid w:val="003E5C8C"/>
    <w:rsid w:val="003F58E4"/>
    <w:rsid w:val="0040031B"/>
    <w:rsid w:val="00400CC7"/>
    <w:rsid w:val="00401032"/>
    <w:rsid w:val="00401ADC"/>
    <w:rsid w:val="00402B24"/>
    <w:rsid w:val="00403B65"/>
    <w:rsid w:val="00404615"/>
    <w:rsid w:val="00404AB5"/>
    <w:rsid w:val="00405065"/>
    <w:rsid w:val="00405D85"/>
    <w:rsid w:val="00406522"/>
    <w:rsid w:val="004066F3"/>
    <w:rsid w:val="00407534"/>
    <w:rsid w:val="00407776"/>
    <w:rsid w:val="00412745"/>
    <w:rsid w:val="00412821"/>
    <w:rsid w:val="00413B35"/>
    <w:rsid w:val="00414361"/>
    <w:rsid w:val="00414498"/>
    <w:rsid w:val="00415043"/>
    <w:rsid w:val="00422D9C"/>
    <w:rsid w:val="00423755"/>
    <w:rsid w:val="0042458A"/>
    <w:rsid w:val="00425F8E"/>
    <w:rsid w:val="00426B54"/>
    <w:rsid w:val="00426F15"/>
    <w:rsid w:val="00427353"/>
    <w:rsid w:val="0043285A"/>
    <w:rsid w:val="00432F3B"/>
    <w:rsid w:val="00433492"/>
    <w:rsid w:val="00433CA6"/>
    <w:rsid w:val="0043549A"/>
    <w:rsid w:val="0043564D"/>
    <w:rsid w:val="0043628A"/>
    <w:rsid w:val="00440C45"/>
    <w:rsid w:val="00444AE6"/>
    <w:rsid w:val="004471D5"/>
    <w:rsid w:val="004478FD"/>
    <w:rsid w:val="00447C96"/>
    <w:rsid w:val="00454539"/>
    <w:rsid w:val="00456022"/>
    <w:rsid w:val="00456F7A"/>
    <w:rsid w:val="00457C2C"/>
    <w:rsid w:val="00460458"/>
    <w:rsid w:val="0046662C"/>
    <w:rsid w:val="004700B3"/>
    <w:rsid w:val="00473B06"/>
    <w:rsid w:val="00474F0C"/>
    <w:rsid w:val="004774B0"/>
    <w:rsid w:val="004778E0"/>
    <w:rsid w:val="00481E4B"/>
    <w:rsid w:val="004829BD"/>
    <w:rsid w:val="00485BC6"/>
    <w:rsid w:val="00486412"/>
    <w:rsid w:val="0048789A"/>
    <w:rsid w:val="00491C59"/>
    <w:rsid w:val="004932DA"/>
    <w:rsid w:val="004A1012"/>
    <w:rsid w:val="004A37B2"/>
    <w:rsid w:val="004A726F"/>
    <w:rsid w:val="004B3227"/>
    <w:rsid w:val="004B5B68"/>
    <w:rsid w:val="004B67B4"/>
    <w:rsid w:val="004B6836"/>
    <w:rsid w:val="004B7CBA"/>
    <w:rsid w:val="004B7DAE"/>
    <w:rsid w:val="004C45F1"/>
    <w:rsid w:val="004C57BF"/>
    <w:rsid w:val="004C7EE4"/>
    <w:rsid w:val="004D1AB5"/>
    <w:rsid w:val="004D34DD"/>
    <w:rsid w:val="004D4D38"/>
    <w:rsid w:val="004D5249"/>
    <w:rsid w:val="004D5866"/>
    <w:rsid w:val="004E02CF"/>
    <w:rsid w:val="004E0A0C"/>
    <w:rsid w:val="004E4A92"/>
    <w:rsid w:val="004E7002"/>
    <w:rsid w:val="004E79A4"/>
    <w:rsid w:val="004F0551"/>
    <w:rsid w:val="004F1025"/>
    <w:rsid w:val="004F2A3C"/>
    <w:rsid w:val="004F35D5"/>
    <w:rsid w:val="004F3D6F"/>
    <w:rsid w:val="004F410E"/>
    <w:rsid w:val="004F529A"/>
    <w:rsid w:val="004F6B17"/>
    <w:rsid w:val="004F78A9"/>
    <w:rsid w:val="004F7CB6"/>
    <w:rsid w:val="0051056D"/>
    <w:rsid w:val="00515203"/>
    <w:rsid w:val="00517D53"/>
    <w:rsid w:val="00523099"/>
    <w:rsid w:val="00524320"/>
    <w:rsid w:val="00524365"/>
    <w:rsid w:val="00524AE1"/>
    <w:rsid w:val="00524F2E"/>
    <w:rsid w:val="005275F1"/>
    <w:rsid w:val="00527935"/>
    <w:rsid w:val="00532BB5"/>
    <w:rsid w:val="005331C9"/>
    <w:rsid w:val="005343EB"/>
    <w:rsid w:val="0053624D"/>
    <w:rsid w:val="0053644B"/>
    <w:rsid w:val="0054008B"/>
    <w:rsid w:val="00543590"/>
    <w:rsid w:val="0054736A"/>
    <w:rsid w:val="0055219D"/>
    <w:rsid w:val="0055353F"/>
    <w:rsid w:val="005546E7"/>
    <w:rsid w:val="005570F9"/>
    <w:rsid w:val="00561E20"/>
    <w:rsid w:val="00562AD8"/>
    <w:rsid w:val="00564BDB"/>
    <w:rsid w:val="00565C58"/>
    <w:rsid w:val="0056633F"/>
    <w:rsid w:val="00566833"/>
    <w:rsid w:val="00566892"/>
    <w:rsid w:val="00566959"/>
    <w:rsid w:val="005713E5"/>
    <w:rsid w:val="00572FA9"/>
    <w:rsid w:val="005730B0"/>
    <w:rsid w:val="0058093E"/>
    <w:rsid w:val="005812D3"/>
    <w:rsid w:val="00582CAD"/>
    <w:rsid w:val="00585E49"/>
    <w:rsid w:val="005868FD"/>
    <w:rsid w:val="0059025A"/>
    <w:rsid w:val="005908C7"/>
    <w:rsid w:val="005947D0"/>
    <w:rsid w:val="00595C0A"/>
    <w:rsid w:val="005A435A"/>
    <w:rsid w:val="005A47CF"/>
    <w:rsid w:val="005A49F3"/>
    <w:rsid w:val="005A5513"/>
    <w:rsid w:val="005A6535"/>
    <w:rsid w:val="005B0C40"/>
    <w:rsid w:val="005B1F8C"/>
    <w:rsid w:val="005B265D"/>
    <w:rsid w:val="005B776B"/>
    <w:rsid w:val="005C237B"/>
    <w:rsid w:val="005C32B4"/>
    <w:rsid w:val="005C6B89"/>
    <w:rsid w:val="005C7AB0"/>
    <w:rsid w:val="005D0633"/>
    <w:rsid w:val="005D39F8"/>
    <w:rsid w:val="005D413E"/>
    <w:rsid w:val="005D4676"/>
    <w:rsid w:val="005D620B"/>
    <w:rsid w:val="005D66BC"/>
    <w:rsid w:val="005D6F5A"/>
    <w:rsid w:val="005D79E7"/>
    <w:rsid w:val="005D7AD0"/>
    <w:rsid w:val="005E259B"/>
    <w:rsid w:val="005E2C2D"/>
    <w:rsid w:val="005E2DE9"/>
    <w:rsid w:val="005E5885"/>
    <w:rsid w:val="005F2973"/>
    <w:rsid w:val="005F37DA"/>
    <w:rsid w:val="005F3A79"/>
    <w:rsid w:val="005F6173"/>
    <w:rsid w:val="005F6E01"/>
    <w:rsid w:val="005F705E"/>
    <w:rsid w:val="00600416"/>
    <w:rsid w:val="006025ED"/>
    <w:rsid w:val="006030DC"/>
    <w:rsid w:val="00603A7D"/>
    <w:rsid w:val="00605FA2"/>
    <w:rsid w:val="00607C15"/>
    <w:rsid w:val="0061089F"/>
    <w:rsid w:val="006120AD"/>
    <w:rsid w:val="0061256C"/>
    <w:rsid w:val="00613D9C"/>
    <w:rsid w:val="006224BC"/>
    <w:rsid w:val="006228C2"/>
    <w:rsid w:val="006304E8"/>
    <w:rsid w:val="00633235"/>
    <w:rsid w:val="00633C64"/>
    <w:rsid w:val="006377F8"/>
    <w:rsid w:val="00637935"/>
    <w:rsid w:val="006422DE"/>
    <w:rsid w:val="006423F2"/>
    <w:rsid w:val="00642F4E"/>
    <w:rsid w:val="0064392C"/>
    <w:rsid w:val="00646916"/>
    <w:rsid w:val="006511CC"/>
    <w:rsid w:val="006520DE"/>
    <w:rsid w:val="00652EED"/>
    <w:rsid w:val="00652F6E"/>
    <w:rsid w:val="0065325A"/>
    <w:rsid w:val="006574C5"/>
    <w:rsid w:val="00662196"/>
    <w:rsid w:val="006650F1"/>
    <w:rsid w:val="00665C73"/>
    <w:rsid w:val="0066636E"/>
    <w:rsid w:val="0067015C"/>
    <w:rsid w:val="00672BF1"/>
    <w:rsid w:val="00674316"/>
    <w:rsid w:val="00674B12"/>
    <w:rsid w:val="0067635C"/>
    <w:rsid w:val="0068134E"/>
    <w:rsid w:val="00681AC5"/>
    <w:rsid w:val="00681E11"/>
    <w:rsid w:val="00682553"/>
    <w:rsid w:val="0068284C"/>
    <w:rsid w:val="006828CD"/>
    <w:rsid w:val="0068409F"/>
    <w:rsid w:val="00684E74"/>
    <w:rsid w:val="006871ED"/>
    <w:rsid w:val="006915E2"/>
    <w:rsid w:val="00693301"/>
    <w:rsid w:val="006A118B"/>
    <w:rsid w:val="006A1801"/>
    <w:rsid w:val="006A7FDC"/>
    <w:rsid w:val="006B07F0"/>
    <w:rsid w:val="006B11B8"/>
    <w:rsid w:val="006B7A4B"/>
    <w:rsid w:val="006C1C71"/>
    <w:rsid w:val="006C44B4"/>
    <w:rsid w:val="006D13E4"/>
    <w:rsid w:val="006D22C5"/>
    <w:rsid w:val="006D347D"/>
    <w:rsid w:val="006D5D3A"/>
    <w:rsid w:val="006D5E1B"/>
    <w:rsid w:val="006D6A4D"/>
    <w:rsid w:val="006D6E35"/>
    <w:rsid w:val="006D72D9"/>
    <w:rsid w:val="006D79F5"/>
    <w:rsid w:val="006D7C55"/>
    <w:rsid w:val="006E008E"/>
    <w:rsid w:val="006E3126"/>
    <w:rsid w:val="006F1D45"/>
    <w:rsid w:val="006F2CEC"/>
    <w:rsid w:val="006F4201"/>
    <w:rsid w:val="006F43B1"/>
    <w:rsid w:val="006F6326"/>
    <w:rsid w:val="00701094"/>
    <w:rsid w:val="0070155F"/>
    <w:rsid w:val="007021A7"/>
    <w:rsid w:val="00702428"/>
    <w:rsid w:val="00702AD7"/>
    <w:rsid w:val="00703BCB"/>
    <w:rsid w:val="00706030"/>
    <w:rsid w:val="007129A1"/>
    <w:rsid w:val="0071467B"/>
    <w:rsid w:val="00714A07"/>
    <w:rsid w:val="007200AA"/>
    <w:rsid w:val="007222E1"/>
    <w:rsid w:val="007228B1"/>
    <w:rsid w:val="00723EFE"/>
    <w:rsid w:val="00724364"/>
    <w:rsid w:val="007310A5"/>
    <w:rsid w:val="00733D98"/>
    <w:rsid w:val="0073400D"/>
    <w:rsid w:val="00735D5A"/>
    <w:rsid w:val="0073625C"/>
    <w:rsid w:val="00736A8B"/>
    <w:rsid w:val="00743706"/>
    <w:rsid w:val="00743C37"/>
    <w:rsid w:val="00744F7D"/>
    <w:rsid w:val="0074550E"/>
    <w:rsid w:val="00752E68"/>
    <w:rsid w:val="00752F4E"/>
    <w:rsid w:val="00752F78"/>
    <w:rsid w:val="007545C6"/>
    <w:rsid w:val="0075635A"/>
    <w:rsid w:val="00757875"/>
    <w:rsid w:val="0076102F"/>
    <w:rsid w:val="0076161C"/>
    <w:rsid w:val="00763B68"/>
    <w:rsid w:val="00764821"/>
    <w:rsid w:val="007667A9"/>
    <w:rsid w:val="00767B67"/>
    <w:rsid w:val="00770A70"/>
    <w:rsid w:val="00770BF1"/>
    <w:rsid w:val="007744C2"/>
    <w:rsid w:val="00774E81"/>
    <w:rsid w:val="00776DE2"/>
    <w:rsid w:val="007779E7"/>
    <w:rsid w:val="00780749"/>
    <w:rsid w:val="00784F0C"/>
    <w:rsid w:val="0078577E"/>
    <w:rsid w:val="007875EA"/>
    <w:rsid w:val="007916E7"/>
    <w:rsid w:val="00791F71"/>
    <w:rsid w:val="00793594"/>
    <w:rsid w:val="0079564F"/>
    <w:rsid w:val="00795837"/>
    <w:rsid w:val="00796E68"/>
    <w:rsid w:val="00797F2A"/>
    <w:rsid w:val="007A5346"/>
    <w:rsid w:val="007A55F2"/>
    <w:rsid w:val="007A5B45"/>
    <w:rsid w:val="007A79BD"/>
    <w:rsid w:val="007A7F25"/>
    <w:rsid w:val="007B2693"/>
    <w:rsid w:val="007B4202"/>
    <w:rsid w:val="007B427A"/>
    <w:rsid w:val="007B4988"/>
    <w:rsid w:val="007B520E"/>
    <w:rsid w:val="007B5A24"/>
    <w:rsid w:val="007B79CD"/>
    <w:rsid w:val="007C3E63"/>
    <w:rsid w:val="007C4D1D"/>
    <w:rsid w:val="007C69F9"/>
    <w:rsid w:val="007C6A52"/>
    <w:rsid w:val="007C6D9F"/>
    <w:rsid w:val="007C73B0"/>
    <w:rsid w:val="007D19DC"/>
    <w:rsid w:val="007D2DAD"/>
    <w:rsid w:val="007D4C24"/>
    <w:rsid w:val="007D5B8D"/>
    <w:rsid w:val="007D708A"/>
    <w:rsid w:val="007D75E9"/>
    <w:rsid w:val="007E17BC"/>
    <w:rsid w:val="007E1A5B"/>
    <w:rsid w:val="007E2C39"/>
    <w:rsid w:val="007E2C83"/>
    <w:rsid w:val="007E5711"/>
    <w:rsid w:val="007E6656"/>
    <w:rsid w:val="007E76B5"/>
    <w:rsid w:val="007F11D0"/>
    <w:rsid w:val="007F3687"/>
    <w:rsid w:val="007F478E"/>
    <w:rsid w:val="007F512B"/>
    <w:rsid w:val="008014C4"/>
    <w:rsid w:val="008037B1"/>
    <w:rsid w:val="00804947"/>
    <w:rsid w:val="00804E54"/>
    <w:rsid w:val="00806762"/>
    <w:rsid w:val="008136DD"/>
    <w:rsid w:val="008144A0"/>
    <w:rsid w:val="008153BD"/>
    <w:rsid w:val="008159F2"/>
    <w:rsid w:val="00817D6F"/>
    <w:rsid w:val="0082127B"/>
    <w:rsid w:val="00822503"/>
    <w:rsid w:val="008262B4"/>
    <w:rsid w:val="00827226"/>
    <w:rsid w:val="008308EA"/>
    <w:rsid w:val="008316FA"/>
    <w:rsid w:val="00831A19"/>
    <w:rsid w:val="00831C22"/>
    <w:rsid w:val="008323A9"/>
    <w:rsid w:val="0083343D"/>
    <w:rsid w:val="008338D6"/>
    <w:rsid w:val="00836666"/>
    <w:rsid w:val="0083672C"/>
    <w:rsid w:val="00840588"/>
    <w:rsid w:val="00840B35"/>
    <w:rsid w:val="008415AA"/>
    <w:rsid w:val="008422B1"/>
    <w:rsid w:val="00845732"/>
    <w:rsid w:val="00851D01"/>
    <w:rsid w:val="00854F4C"/>
    <w:rsid w:val="008553C5"/>
    <w:rsid w:val="008572D9"/>
    <w:rsid w:val="00860C44"/>
    <w:rsid w:val="008616BB"/>
    <w:rsid w:val="00861E13"/>
    <w:rsid w:val="00863527"/>
    <w:rsid w:val="008670EF"/>
    <w:rsid w:val="0087366A"/>
    <w:rsid w:val="00873A0C"/>
    <w:rsid w:val="00874570"/>
    <w:rsid w:val="008778FD"/>
    <w:rsid w:val="008837F7"/>
    <w:rsid w:val="00885E0D"/>
    <w:rsid w:val="00892496"/>
    <w:rsid w:val="00894DC9"/>
    <w:rsid w:val="00895805"/>
    <w:rsid w:val="008A2921"/>
    <w:rsid w:val="008A3D60"/>
    <w:rsid w:val="008A4F6E"/>
    <w:rsid w:val="008A6F22"/>
    <w:rsid w:val="008A707E"/>
    <w:rsid w:val="008B1A01"/>
    <w:rsid w:val="008B5D8F"/>
    <w:rsid w:val="008B6122"/>
    <w:rsid w:val="008B6BC5"/>
    <w:rsid w:val="008C066F"/>
    <w:rsid w:val="008C1377"/>
    <w:rsid w:val="008C3C4F"/>
    <w:rsid w:val="008C43A5"/>
    <w:rsid w:val="008C6E44"/>
    <w:rsid w:val="008D2535"/>
    <w:rsid w:val="008D3189"/>
    <w:rsid w:val="008D3208"/>
    <w:rsid w:val="008D3A79"/>
    <w:rsid w:val="008D3AD8"/>
    <w:rsid w:val="008D3C20"/>
    <w:rsid w:val="008D41A9"/>
    <w:rsid w:val="008E1D3A"/>
    <w:rsid w:val="008E2BEE"/>
    <w:rsid w:val="008E356E"/>
    <w:rsid w:val="008E64E1"/>
    <w:rsid w:val="008E68B2"/>
    <w:rsid w:val="008E7845"/>
    <w:rsid w:val="008F1B5A"/>
    <w:rsid w:val="008F1BFE"/>
    <w:rsid w:val="008F311E"/>
    <w:rsid w:val="008F4E0B"/>
    <w:rsid w:val="008F516A"/>
    <w:rsid w:val="008F71A0"/>
    <w:rsid w:val="008F7963"/>
    <w:rsid w:val="00903070"/>
    <w:rsid w:val="00904C33"/>
    <w:rsid w:val="00906562"/>
    <w:rsid w:val="0090733A"/>
    <w:rsid w:val="00907866"/>
    <w:rsid w:val="00907F79"/>
    <w:rsid w:val="00913889"/>
    <w:rsid w:val="00914640"/>
    <w:rsid w:val="00914AD7"/>
    <w:rsid w:val="00916C8D"/>
    <w:rsid w:val="009178AE"/>
    <w:rsid w:val="009213C9"/>
    <w:rsid w:val="0092253E"/>
    <w:rsid w:val="009254E7"/>
    <w:rsid w:val="009255BD"/>
    <w:rsid w:val="009277BE"/>
    <w:rsid w:val="00934CC7"/>
    <w:rsid w:val="0094353C"/>
    <w:rsid w:val="009453E1"/>
    <w:rsid w:val="00947606"/>
    <w:rsid w:val="00947B12"/>
    <w:rsid w:val="009534C9"/>
    <w:rsid w:val="009571D7"/>
    <w:rsid w:val="009612D8"/>
    <w:rsid w:val="00961C6A"/>
    <w:rsid w:val="00961FEE"/>
    <w:rsid w:val="00963635"/>
    <w:rsid w:val="0096475E"/>
    <w:rsid w:val="0096499A"/>
    <w:rsid w:val="00964F07"/>
    <w:rsid w:val="0096501F"/>
    <w:rsid w:val="009702CE"/>
    <w:rsid w:val="009723FF"/>
    <w:rsid w:val="00972AB1"/>
    <w:rsid w:val="009768D2"/>
    <w:rsid w:val="00976940"/>
    <w:rsid w:val="00976BDA"/>
    <w:rsid w:val="009806EC"/>
    <w:rsid w:val="00981C23"/>
    <w:rsid w:val="00981E37"/>
    <w:rsid w:val="00982581"/>
    <w:rsid w:val="009840CE"/>
    <w:rsid w:val="00984CD8"/>
    <w:rsid w:val="00985E01"/>
    <w:rsid w:val="00985EFD"/>
    <w:rsid w:val="00986594"/>
    <w:rsid w:val="00993F6B"/>
    <w:rsid w:val="009A06D7"/>
    <w:rsid w:val="009A0D22"/>
    <w:rsid w:val="009A199C"/>
    <w:rsid w:val="009A3636"/>
    <w:rsid w:val="009A48B0"/>
    <w:rsid w:val="009A4DC6"/>
    <w:rsid w:val="009A6133"/>
    <w:rsid w:val="009B0E93"/>
    <w:rsid w:val="009B1025"/>
    <w:rsid w:val="009B298F"/>
    <w:rsid w:val="009B2DDD"/>
    <w:rsid w:val="009B5977"/>
    <w:rsid w:val="009B6333"/>
    <w:rsid w:val="009B685B"/>
    <w:rsid w:val="009C6406"/>
    <w:rsid w:val="009D024D"/>
    <w:rsid w:val="009D2E33"/>
    <w:rsid w:val="009D308D"/>
    <w:rsid w:val="009D41BA"/>
    <w:rsid w:val="009D788B"/>
    <w:rsid w:val="009F1773"/>
    <w:rsid w:val="009F3195"/>
    <w:rsid w:val="009F6CE7"/>
    <w:rsid w:val="00A03DC5"/>
    <w:rsid w:val="00A05596"/>
    <w:rsid w:val="00A06E80"/>
    <w:rsid w:val="00A07960"/>
    <w:rsid w:val="00A133B3"/>
    <w:rsid w:val="00A1710C"/>
    <w:rsid w:val="00A22F35"/>
    <w:rsid w:val="00A244B1"/>
    <w:rsid w:val="00A26E77"/>
    <w:rsid w:val="00A36F7F"/>
    <w:rsid w:val="00A41250"/>
    <w:rsid w:val="00A41D4E"/>
    <w:rsid w:val="00A42BDF"/>
    <w:rsid w:val="00A52063"/>
    <w:rsid w:val="00A520B2"/>
    <w:rsid w:val="00A52A8F"/>
    <w:rsid w:val="00A5382D"/>
    <w:rsid w:val="00A54BB2"/>
    <w:rsid w:val="00A54FAE"/>
    <w:rsid w:val="00A55A9A"/>
    <w:rsid w:val="00A574D9"/>
    <w:rsid w:val="00A57591"/>
    <w:rsid w:val="00A57F66"/>
    <w:rsid w:val="00A640FF"/>
    <w:rsid w:val="00A65917"/>
    <w:rsid w:val="00A66B00"/>
    <w:rsid w:val="00A70633"/>
    <w:rsid w:val="00A712B1"/>
    <w:rsid w:val="00A7224F"/>
    <w:rsid w:val="00A756AC"/>
    <w:rsid w:val="00A771B4"/>
    <w:rsid w:val="00A77304"/>
    <w:rsid w:val="00A776B9"/>
    <w:rsid w:val="00A83B38"/>
    <w:rsid w:val="00A83ECB"/>
    <w:rsid w:val="00A847B9"/>
    <w:rsid w:val="00A850C0"/>
    <w:rsid w:val="00A85298"/>
    <w:rsid w:val="00A9226C"/>
    <w:rsid w:val="00A955CA"/>
    <w:rsid w:val="00A97360"/>
    <w:rsid w:val="00AA3909"/>
    <w:rsid w:val="00AA5CC3"/>
    <w:rsid w:val="00AA6010"/>
    <w:rsid w:val="00AA6167"/>
    <w:rsid w:val="00AA61F7"/>
    <w:rsid w:val="00AB03BD"/>
    <w:rsid w:val="00AB2A8B"/>
    <w:rsid w:val="00AB2F11"/>
    <w:rsid w:val="00AB70B2"/>
    <w:rsid w:val="00AC1150"/>
    <w:rsid w:val="00AC5955"/>
    <w:rsid w:val="00AD4DE6"/>
    <w:rsid w:val="00AD525B"/>
    <w:rsid w:val="00AD5297"/>
    <w:rsid w:val="00AD6D3D"/>
    <w:rsid w:val="00AD6EC2"/>
    <w:rsid w:val="00AD7DA5"/>
    <w:rsid w:val="00AE0354"/>
    <w:rsid w:val="00AE266B"/>
    <w:rsid w:val="00AE4C26"/>
    <w:rsid w:val="00AE7D5D"/>
    <w:rsid w:val="00AF1AED"/>
    <w:rsid w:val="00AF2204"/>
    <w:rsid w:val="00AF22A1"/>
    <w:rsid w:val="00AF46DF"/>
    <w:rsid w:val="00B012F3"/>
    <w:rsid w:val="00B01BCA"/>
    <w:rsid w:val="00B02E93"/>
    <w:rsid w:val="00B038E0"/>
    <w:rsid w:val="00B03E84"/>
    <w:rsid w:val="00B06387"/>
    <w:rsid w:val="00B068E6"/>
    <w:rsid w:val="00B12388"/>
    <w:rsid w:val="00B1273F"/>
    <w:rsid w:val="00B1365F"/>
    <w:rsid w:val="00B14AE9"/>
    <w:rsid w:val="00B15ED3"/>
    <w:rsid w:val="00B16CF6"/>
    <w:rsid w:val="00B22000"/>
    <w:rsid w:val="00B22430"/>
    <w:rsid w:val="00B25348"/>
    <w:rsid w:val="00B34B8C"/>
    <w:rsid w:val="00B370BD"/>
    <w:rsid w:val="00B37279"/>
    <w:rsid w:val="00B43BFE"/>
    <w:rsid w:val="00B4401D"/>
    <w:rsid w:val="00B46FD9"/>
    <w:rsid w:val="00B471B2"/>
    <w:rsid w:val="00B47C4F"/>
    <w:rsid w:val="00B502E6"/>
    <w:rsid w:val="00B5222A"/>
    <w:rsid w:val="00B53493"/>
    <w:rsid w:val="00B536D0"/>
    <w:rsid w:val="00B54A07"/>
    <w:rsid w:val="00B555C1"/>
    <w:rsid w:val="00B55D18"/>
    <w:rsid w:val="00B56CC8"/>
    <w:rsid w:val="00B60B44"/>
    <w:rsid w:val="00B61609"/>
    <w:rsid w:val="00B616EB"/>
    <w:rsid w:val="00B6435B"/>
    <w:rsid w:val="00B65281"/>
    <w:rsid w:val="00B6600A"/>
    <w:rsid w:val="00B668FB"/>
    <w:rsid w:val="00B66DC0"/>
    <w:rsid w:val="00B67F8F"/>
    <w:rsid w:val="00B70555"/>
    <w:rsid w:val="00B73317"/>
    <w:rsid w:val="00B75F28"/>
    <w:rsid w:val="00B7654B"/>
    <w:rsid w:val="00B76B8E"/>
    <w:rsid w:val="00B8347A"/>
    <w:rsid w:val="00B83516"/>
    <w:rsid w:val="00B848F0"/>
    <w:rsid w:val="00B84EFA"/>
    <w:rsid w:val="00B85128"/>
    <w:rsid w:val="00B86791"/>
    <w:rsid w:val="00B87365"/>
    <w:rsid w:val="00B93194"/>
    <w:rsid w:val="00B96323"/>
    <w:rsid w:val="00B96648"/>
    <w:rsid w:val="00B97C63"/>
    <w:rsid w:val="00BA08FB"/>
    <w:rsid w:val="00BA0DF5"/>
    <w:rsid w:val="00BA21CA"/>
    <w:rsid w:val="00BA2D60"/>
    <w:rsid w:val="00BA45AE"/>
    <w:rsid w:val="00BA49D2"/>
    <w:rsid w:val="00BA4F4A"/>
    <w:rsid w:val="00BA61CC"/>
    <w:rsid w:val="00BA66AD"/>
    <w:rsid w:val="00BB02B7"/>
    <w:rsid w:val="00BB2A35"/>
    <w:rsid w:val="00BB3F71"/>
    <w:rsid w:val="00BB49AA"/>
    <w:rsid w:val="00BB53A4"/>
    <w:rsid w:val="00BB7413"/>
    <w:rsid w:val="00BC08A5"/>
    <w:rsid w:val="00BC1457"/>
    <w:rsid w:val="00BC18C5"/>
    <w:rsid w:val="00BC2DD3"/>
    <w:rsid w:val="00BC35AC"/>
    <w:rsid w:val="00BC388B"/>
    <w:rsid w:val="00BC4C64"/>
    <w:rsid w:val="00BC4EF0"/>
    <w:rsid w:val="00BC67B1"/>
    <w:rsid w:val="00BC7EC7"/>
    <w:rsid w:val="00BD062C"/>
    <w:rsid w:val="00BD0ECD"/>
    <w:rsid w:val="00BD29F6"/>
    <w:rsid w:val="00BD39DF"/>
    <w:rsid w:val="00BD7CF3"/>
    <w:rsid w:val="00BE16D4"/>
    <w:rsid w:val="00BE3425"/>
    <w:rsid w:val="00BE49D0"/>
    <w:rsid w:val="00BF2C53"/>
    <w:rsid w:val="00BF30FF"/>
    <w:rsid w:val="00BF4ACD"/>
    <w:rsid w:val="00BF59FA"/>
    <w:rsid w:val="00BF7DC0"/>
    <w:rsid w:val="00BF7FF2"/>
    <w:rsid w:val="00C000C3"/>
    <w:rsid w:val="00C01F9D"/>
    <w:rsid w:val="00C025D6"/>
    <w:rsid w:val="00C02C96"/>
    <w:rsid w:val="00C02E60"/>
    <w:rsid w:val="00C0445B"/>
    <w:rsid w:val="00C05B9D"/>
    <w:rsid w:val="00C05E29"/>
    <w:rsid w:val="00C075DD"/>
    <w:rsid w:val="00C10095"/>
    <w:rsid w:val="00C10DB8"/>
    <w:rsid w:val="00C10E21"/>
    <w:rsid w:val="00C113FE"/>
    <w:rsid w:val="00C12CC4"/>
    <w:rsid w:val="00C1514B"/>
    <w:rsid w:val="00C15BF5"/>
    <w:rsid w:val="00C21366"/>
    <w:rsid w:val="00C240FD"/>
    <w:rsid w:val="00C24374"/>
    <w:rsid w:val="00C26DF3"/>
    <w:rsid w:val="00C27633"/>
    <w:rsid w:val="00C302EF"/>
    <w:rsid w:val="00C30AB3"/>
    <w:rsid w:val="00C3173A"/>
    <w:rsid w:val="00C35F49"/>
    <w:rsid w:val="00C410F4"/>
    <w:rsid w:val="00C41E53"/>
    <w:rsid w:val="00C42B44"/>
    <w:rsid w:val="00C45B0F"/>
    <w:rsid w:val="00C510F4"/>
    <w:rsid w:val="00C51F7E"/>
    <w:rsid w:val="00C53C12"/>
    <w:rsid w:val="00C53F00"/>
    <w:rsid w:val="00C54ACC"/>
    <w:rsid w:val="00C57FAF"/>
    <w:rsid w:val="00C65132"/>
    <w:rsid w:val="00C65179"/>
    <w:rsid w:val="00C715D6"/>
    <w:rsid w:val="00C73A46"/>
    <w:rsid w:val="00C74C53"/>
    <w:rsid w:val="00C76C09"/>
    <w:rsid w:val="00C82129"/>
    <w:rsid w:val="00C828D7"/>
    <w:rsid w:val="00C82CCA"/>
    <w:rsid w:val="00C83BF8"/>
    <w:rsid w:val="00C87372"/>
    <w:rsid w:val="00C876BF"/>
    <w:rsid w:val="00C901EB"/>
    <w:rsid w:val="00C905A2"/>
    <w:rsid w:val="00C97431"/>
    <w:rsid w:val="00C97C3B"/>
    <w:rsid w:val="00C97E38"/>
    <w:rsid w:val="00CA16A1"/>
    <w:rsid w:val="00CA40C4"/>
    <w:rsid w:val="00CA5377"/>
    <w:rsid w:val="00CA652E"/>
    <w:rsid w:val="00CA6A13"/>
    <w:rsid w:val="00CB36FC"/>
    <w:rsid w:val="00CB3C01"/>
    <w:rsid w:val="00CB5FBE"/>
    <w:rsid w:val="00CC0652"/>
    <w:rsid w:val="00CC15DD"/>
    <w:rsid w:val="00CC314B"/>
    <w:rsid w:val="00CC370F"/>
    <w:rsid w:val="00CC4AE3"/>
    <w:rsid w:val="00CC5083"/>
    <w:rsid w:val="00CC5190"/>
    <w:rsid w:val="00CC520D"/>
    <w:rsid w:val="00CC529A"/>
    <w:rsid w:val="00CD12ED"/>
    <w:rsid w:val="00CD2F92"/>
    <w:rsid w:val="00CD34FA"/>
    <w:rsid w:val="00CD5A62"/>
    <w:rsid w:val="00CD5BF8"/>
    <w:rsid w:val="00CD6EEC"/>
    <w:rsid w:val="00CE1196"/>
    <w:rsid w:val="00CE148A"/>
    <w:rsid w:val="00CE239A"/>
    <w:rsid w:val="00CF1CDD"/>
    <w:rsid w:val="00CF632E"/>
    <w:rsid w:val="00CF63C3"/>
    <w:rsid w:val="00D00F4A"/>
    <w:rsid w:val="00D0327F"/>
    <w:rsid w:val="00D056DA"/>
    <w:rsid w:val="00D13F91"/>
    <w:rsid w:val="00D16917"/>
    <w:rsid w:val="00D22772"/>
    <w:rsid w:val="00D241D3"/>
    <w:rsid w:val="00D24A91"/>
    <w:rsid w:val="00D24EAF"/>
    <w:rsid w:val="00D24EC3"/>
    <w:rsid w:val="00D253E1"/>
    <w:rsid w:val="00D266EF"/>
    <w:rsid w:val="00D26FB2"/>
    <w:rsid w:val="00D27FA8"/>
    <w:rsid w:val="00D336C7"/>
    <w:rsid w:val="00D365D3"/>
    <w:rsid w:val="00D366E9"/>
    <w:rsid w:val="00D37C9F"/>
    <w:rsid w:val="00D4159B"/>
    <w:rsid w:val="00D4240A"/>
    <w:rsid w:val="00D42F7B"/>
    <w:rsid w:val="00D45FBD"/>
    <w:rsid w:val="00D47009"/>
    <w:rsid w:val="00D51B7C"/>
    <w:rsid w:val="00D55089"/>
    <w:rsid w:val="00D55AC5"/>
    <w:rsid w:val="00D6137A"/>
    <w:rsid w:val="00D64462"/>
    <w:rsid w:val="00D64C66"/>
    <w:rsid w:val="00D65684"/>
    <w:rsid w:val="00D65E06"/>
    <w:rsid w:val="00D738E5"/>
    <w:rsid w:val="00D73991"/>
    <w:rsid w:val="00D756B1"/>
    <w:rsid w:val="00D76E92"/>
    <w:rsid w:val="00D77F86"/>
    <w:rsid w:val="00D80821"/>
    <w:rsid w:val="00D8114C"/>
    <w:rsid w:val="00D90D67"/>
    <w:rsid w:val="00D9690E"/>
    <w:rsid w:val="00D9708C"/>
    <w:rsid w:val="00DA12BC"/>
    <w:rsid w:val="00DA1751"/>
    <w:rsid w:val="00DA2884"/>
    <w:rsid w:val="00DA2923"/>
    <w:rsid w:val="00DA3295"/>
    <w:rsid w:val="00DA5629"/>
    <w:rsid w:val="00DA726F"/>
    <w:rsid w:val="00DA76FA"/>
    <w:rsid w:val="00DB282B"/>
    <w:rsid w:val="00DB2B49"/>
    <w:rsid w:val="00DB5EF1"/>
    <w:rsid w:val="00DB73BA"/>
    <w:rsid w:val="00DC1CA2"/>
    <w:rsid w:val="00DC28FE"/>
    <w:rsid w:val="00DC290C"/>
    <w:rsid w:val="00DC33B4"/>
    <w:rsid w:val="00DD40B0"/>
    <w:rsid w:val="00DD4656"/>
    <w:rsid w:val="00DD47BC"/>
    <w:rsid w:val="00DE0DAA"/>
    <w:rsid w:val="00DF01DF"/>
    <w:rsid w:val="00DF2F18"/>
    <w:rsid w:val="00DF335E"/>
    <w:rsid w:val="00DF5E48"/>
    <w:rsid w:val="00DF779E"/>
    <w:rsid w:val="00E00F63"/>
    <w:rsid w:val="00E018FB"/>
    <w:rsid w:val="00E026E7"/>
    <w:rsid w:val="00E0449A"/>
    <w:rsid w:val="00E05CDE"/>
    <w:rsid w:val="00E07328"/>
    <w:rsid w:val="00E105E1"/>
    <w:rsid w:val="00E10F21"/>
    <w:rsid w:val="00E11651"/>
    <w:rsid w:val="00E135C8"/>
    <w:rsid w:val="00E155B0"/>
    <w:rsid w:val="00E15F81"/>
    <w:rsid w:val="00E162EC"/>
    <w:rsid w:val="00E1719A"/>
    <w:rsid w:val="00E175E8"/>
    <w:rsid w:val="00E21DC0"/>
    <w:rsid w:val="00E23F25"/>
    <w:rsid w:val="00E23F86"/>
    <w:rsid w:val="00E257EB"/>
    <w:rsid w:val="00E262C9"/>
    <w:rsid w:val="00E307AC"/>
    <w:rsid w:val="00E32A0B"/>
    <w:rsid w:val="00E42591"/>
    <w:rsid w:val="00E433B3"/>
    <w:rsid w:val="00E43F13"/>
    <w:rsid w:val="00E448AB"/>
    <w:rsid w:val="00E52D8B"/>
    <w:rsid w:val="00E53115"/>
    <w:rsid w:val="00E5456C"/>
    <w:rsid w:val="00E5514F"/>
    <w:rsid w:val="00E5549C"/>
    <w:rsid w:val="00E55FAB"/>
    <w:rsid w:val="00E56678"/>
    <w:rsid w:val="00E5749D"/>
    <w:rsid w:val="00E61935"/>
    <w:rsid w:val="00E67626"/>
    <w:rsid w:val="00E6763B"/>
    <w:rsid w:val="00E67E33"/>
    <w:rsid w:val="00E70785"/>
    <w:rsid w:val="00E737CC"/>
    <w:rsid w:val="00E74957"/>
    <w:rsid w:val="00E7579F"/>
    <w:rsid w:val="00E84D56"/>
    <w:rsid w:val="00E85AC5"/>
    <w:rsid w:val="00E94DD5"/>
    <w:rsid w:val="00E95DB3"/>
    <w:rsid w:val="00EA0439"/>
    <w:rsid w:val="00EA2D28"/>
    <w:rsid w:val="00EA317E"/>
    <w:rsid w:val="00EA3B23"/>
    <w:rsid w:val="00EA560C"/>
    <w:rsid w:val="00EA68BD"/>
    <w:rsid w:val="00EA73B7"/>
    <w:rsid w:val="00EB2551"/>
    <w:rsid w:val="00EB4FF1"/>
    <w:rsid w:val="00EB5043"/>
    <w:rsid w:val="00EB58BD"/>
    <w:rsid w:val="00EB61BF"/>
    <w:rsid w:val="00EB7966"/>
    <w:rsid w:val="00EC0F5F"/>
    <w:rsid w:val="00EC0FFC"/>
    <w:rsid w:val="00EC1D59"/>
    <w:rsid w:val="00EC25D7"/>
    <w:rsid w:val="00EC34C7"/>
    <w:rsid w:val="00EC4463"/>
    <w:rsid w:val="00ED0EC9"/>
    <w:rsid w:val="00ED2E33"/>
    <w:rsid w:val="00ED3024"/>
    <w:rsid w:val="00ED4809"/>
    <w:rsid w:val="00ED71B6"/>
    <w:rsid w:val="00ED73CF"/>
    <w:rsid w:val="00ED7F92"/>
    <w:rsid w:val="00EE0CB2"/>
    <w:rsid w:val="00EE201E"/>
    <w:rsid w:val="00EE5474"/>
    <w:rsid w:val="00EE5737"/>
    <w:rsid w:val="00EE7AA0"/>
    <w:rsid w:val="00EF0E10"/>
    <w:rsid w:val="00EF11C8"/>
    <w:rsid w:val="00EF2076"/>
    <w:rsid w:val="00EF2AFB"/>
    <w:rsid w:val="00EF30DE"/>
    <w:rsid w:val="00EF3722"/>
    <w:rsid w:val="00EF3E3A"/>
    <w:rsid w:val="00EF71FC"/>
    <w:rsid w:val="00EF7875"/>
    <w:rsid w:val="00F01480"/>
    <w:rsid w:val="00F02800"/>
    <w:rsid w:val="00F02E0A"/>
    <w:rsid w:val="00F07693"/>
    <w:rsid w:val="00F13B73"/>
    <w:rsid w:val="00F16547"/>
    <w:rsid w:val="00F17122"/>
    <w:rsid w:val="00F17C73"/>
    <w:rsid w:val="00F229D2"/>
    <w:rsid w:val="00F230A4"/>
    <w:rsid w:val="00F26D0D"/>
    <w:rsid w:val="00F311B5"/>
    <w:rsid w:val="00F33D5C"/>
    <w:rsid w:val="00F357CA"/>
    <w:rsid w:val="00F35F42"/>
    <w:rsid w:val="00F4067D"/>
    <w:rsid w:val="00F41136"/>
    <w:rsid w:val="00F414C9"/>
    <w:rsid w:val="00F42902"/>
    <w:rsid w:val="00F431FB"/>
    <w:rsid w:val="00F44BC4"/>
    <w:rsid w:val="00F44C5C"/>
    <w:rsid w:val="00F454F9"/>
    <w:rsid w:val="00F45D2C"/>
    <w:rsid w:val="00F46B0D"/>
    <w:rsid w:val="00F51A0D"/>
    <w:rsid w:val="00F53669"/>
    <w:rsid w:val="00F53ACB"/>
    <w:rsid w:val="00F54F2F"/>
    <w:rsid w:val="00F55BE6"/>
    <w:rsid w:val="00F5680A"/>
    <w:rsid w:val="00F60E46"/>
    <w:rsid w:val="00F6184E"/>
    <w:rsid w:val="00F644BE"/>
    <w:rsid w:val="00F6578F"/>
    <w:rsid w:val="00F659CF"/>
    <w:rsid w:val="00F70967"/>
    <w:rsid w:val="00F7134D"/>
    <w:rsid w:val="00F71CCF"/>
    <w:rsid w:val="00F7226B"/>
    <w:rsid w:val="00F72506"/>
    <w:rsid w:val="00F727FE"/>
    <w:rsid w:val="00F73724"/>
    <w:rsid w:val="00F7499A"/>
    <w:rsid w:val="00F8007E"/>
    <w:rsid w:val="00F81C8A"/>
    <w:rsid w:val="00F81F68"/>
    <w:rsid w:val="00F84805"/>
    <w:rsid w:val="00F84F63"/>
    <w:rsid w:val="00F85481"/>
    <w:rsid w:val="00F87C83"/>
    <w:rsid w:val="00F93644"/>
    <w:rsid w:val="00F94B55"/>
    <w:rsid w:val="00FA24FE"/>
    <w:rsid w:val="00FA2B02"/>
    <w:rsid w:val="00FA3A63"/>
    <w:rsid w:val="00FA5346"/>
    <w:rsid w:val="00FA603D"/>
    <w:rsid w:val="00FB1115"/>
    <w:rsid w:val="00FB3447"/>
    <w:rsid w:val="00FB34B3"/>
    <w:rsid w:val="00FB35CD"/>
    <w:rsid w:val="00FB4AE4"/>
    <w:rsid w:val="00FB613A"/>
    <w:rsid w:val="00FB6302"/>
    <w:rsid w:val="00FC0DA8"/>
    <w:rsid w:val="00FC20D4"/>
    <w:rsid w:val="00FC2AAF"/>
    <w:rsid w:val="00FC2FB6"/>
    <w:rsid w:val="00FC4CBF"/>
    <w:rsid w:val="00FC52B9"/>
    <w:rsid w:val="00FD3467"/>
    <w:rsid w:val="00FD36C5"/>
    <w:rsid w:val="00FD6991"/>
    <w:rsid w:val="00FD6A65"/>
    <w:rsid w:val="00FD6E8D"/>
    <w:rsid w:val="00FD73EF"/>
    <w:rsid w:val="00FD7B17"/>
    <w:rsid w:val="00FD7F5D"/>
    <w:rsid w:val="00FE00B0"/>
    <w:rsid w:val="00FE3669"/>
    <w:rsid w:val="00FE4F6F"/>
    <w:rsid w:val="00FE7111"/>
    <w:rsid w:val="00FE71A2"/>
    <w:rsid w:val="00FE7A02"/>
    <w:rsid w:val="00FE7EF6"/>
    <w:rsid w:val="00FF1230"/>
    <w:rsid w:val="00FF3542"/>
    <w:rsid w:val="00FF3EF1"/>
    <w:rsid w:val="00FF4688"/>
    <w:rsid w:val="00FF487E"/>
    <w:rsid w:val="00FF781B"/>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B549A4E1-4502-4FB1-A17F-DF6AB0B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lsdException w:name="List 4" w:semiHidden="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3E"/>
    <w:pPr>
      <w:spacing w:before="0" w:after="0"/>
    </w:pPr>
    <w:rPr>
      <w:rFonts w:ascii="Gotham Thin" w:hAnsi="Gotham Thin"/>
      <w:sz w:val="20"/>
    </w:rPr>
  </w:style>
  <w:style w:type="paragraph" w:styleId="Heading1">
    <w:name w:val="heading 1"/>
    <w:basedOn w:val="Normal"/>
    <w:next w:val="BodyText"/>
    <w:link w:val="Heading1Char"/>
    <w:qFormat/>
    <w:rsid w:val="00AF22A1"/>
    <w:pPr>
      <w:keepNext/>
      <w:keepLines/>
      <w:pageBreakBefore/>
      <w:widowControl w:val="0"/>
      <w:spacing w:after="240"/>
      <w:outlineLvl w:val="0"/>
    </w:pPr>
    <w:rPr>
      <w:rFonts w:ascii="Gotham" w:eastAsia="Times New Roman" w:hAnsi="Gotham" w:cs="Arial"/>
      <w:bCs/>
      <w:sz w:val="32"/>
      <w:szCs w:val="32"/>
      <w:lang w:eastAsia="en-AU"/>
    </w:rPr>
  </w:style>
  <w:style w:type="paragraph" w:styleId="Heading2">
    <w:name w:val="heading 2"/>
    <w:basedOn w:val="Normal"/>
    <w:next w:val="BodyText"/>
    <w:link w:val="Heading2Char"/>
    <w:qFormat/>
    <w:rsid w:val="002E6048"/>
    <w:pPr>
      <w:keepNext/>
      <w:keepLines/>
      <w:spacing w:before="120" w:after="120"/>
      <w:outlineLvl w:val="1"/>
    </w:pPr>
    <w:rPr>
      <w:rFonts w:ascii="Gotham" w:eastAsia="Times New Roman" w:hAnsi="Gotham" w:cs="Arial"/>
      <w:bCs/>
      <w:iCs/>
      <w:color w:val="324851"/>
      <w:sz w:val="28"/>
      <w:szCs w:val="28"/>
      <w:lang w:eastAsia="en-AU"/>
    </w:rPr>
  </w:style>
  <w:style w:type="paragraph" w:styleId="Heading3">
    <w:name w:val="heading 3"/>
    <w:basedOn w:val="Normal"/>
    <w:next w:val="BodyText"/>
    <w:link w:val="Heading3Char"/>
    <w:qFormat/>
    <w:rsid w:val="002E6048"/>
    <w:pPr>
      <w:keepNext/>
      <w:keepLines/>
      <w:spacing w:before="120" w:after="120"/>
      <w:outlineLvl w:val="2"/>
    </w:pPr>
    <w:rPr>
      <w:rFonts w:eastAsia="Times New Roman" w:cs="Times New Roman"/>
      <w:bCs/>
      <w:color w:val="324851"/>
      <w:sz w:val="26"/>
      <w:szCs w:val="24"/>
      <w:lang w:eastAsia="en-AU"/>
    </w:rPr>
  </w:style>
  <w:style w:type="paragraph" w:styleId="Heading4">
    <w:name w:val="heading 4"/>
    <w:basedOn w:val="Normal"/>
    <w:next w:val="BodyText"/>
    <w:link w:val="Heading4Char"/>
    <w:qFormat/>
    <w:rsid w:val="002E6048"/>
    <w:pPr>
      <w:keepNext/>
      <w:keepLines/>
      <w:spacing w:before="120" w:after="120"/>
      <w:outlineLvl w:val="3"/>
    </w:pPr>
    <w:rPr>
      <w:rFonts w:ascii="Gotham" w:eastAsia="Times New Roman" w:hAnsi="Gotham" w:cs="Times New Roman"/>
      <w:bCs/>
      <w:color w:val="122872"/>
      <w:sz w:val="24"/>
      <w:lang w:eastAsia="en-AU"/>
    </w:rPr>
  </w:style>
  <w:style w:type="paragraph" w:styleId="Heading5">
    <w:name w:val="heading 5"/>
    <w:basedOn w:val="Normal"/>
    <w:next w:val="BodyText"/>
    <w:link w:val="Heading5Char"/>
    <w:qFormat/>
    <w:rsid w:val="002E6048"/>
    <w:pPr>
      <w:keepNext/>
      <w:keepLines/>
      <w:spacing w:before="120" w:after="120"/>
      <w:outlineLvl w:val="4"/>
    </w:pPr>
    <w:rPr>
      <w:rFonts w:eastAsia="Times New Roman" w:cs="Times New Roman"/>
      <w:bCs/>
      <w:iCs/>
      <w:color w:val="122872"/>
      <w:szCs w:val="26"/>
      <w:lang w:eastAsia="en-AU"/>
    </w:rPr>
  </w:style>
  <w:style w:type="paragraph" w:styleId="Heading6">
    <w:name w:val="heading 6"/>
    <w:basedOn w:val="Normal"/>
    <w:next w:val="Normal"/>
    <w:link w:val="Heading6Char"/>
    <w:uiPriority w:val="99"/>
    <w:semiHidden/>
    <w:qFormat/>
    <w:rsid w:val="00D00F4A"/>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253E"/>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92253E"/>
    <w:rPr>
      <w:rFonts w:ascii="Gotham Thin" w:eastAsia="Times New Roman" w:hAnsi="Gotham Thin" w:cs="Times New Roman"/>
      <w:sz w:val="20"/>
      <w:szCs w:val="24"/>
      <w:lang w:eastAsia="en-AU"/>
    </w:rPr>
  </w:style>
  <w:style w:type="character" w:customStyle="1" w:styleId="Heading1Char">
    <w:name w:val="Heading 1 Char"/>
    <w:basedOn w:val="DefaultParagraphFont"/>
    <w:link w:val="Heading1"/>
    <w:rsid w:val="00AF22A1"/>
    <w:rPr>
      <w:rFonts w:ascii="Gotham" w:eastAsia="Times New Roman" w:hAnsi="Gotham" w:cs="Arial"/>
      <w:bCs/>
      <w:sz w:val="32"/>
      <w:szCs w:val="32"/>
      <w:lang w:eastAsia="en-AU"/>
    </w:rPr>
  </w:style>
  <w:style w:type="character" w:customStyle="1" w:styleId="Heading2Char">
    <w:name w:val="Heading 2 Char"/>
    <w:basedOn w:val="DefaultParagraphFont"/>
    <w:link w:val="Heading2"/>
    <w:rsid w:val="002E6048"/>
    <w:rPr>
      <w:rFonts w:ascii="Gotham" w:eastAsia="Times New Roman" w:hAnsi="Gotham" w:cs="Arial"/>
      <w:bCs/>
      <w:iCs/>
      <w:color w:val="324851"/>
      <w:sz w:val="28"/>
      <w:szCs w:val="28"/>
      <w:lang w:eastAsia="en-AU"/>
    </w:rPr>
  </w:style>
  <w:style w:type="character" w:customStyle="1" w:styleId="Heading3Char">
    <w:name w:val="Heading 3 Char"/>
    <w:basedOn w:val="DefaultParagraphFont"/>
    <w:link w:val="Heading3"/>
    <w:rsid w:val="002E6048"/>
    <w:rPr>
      <w:rFonts w:ascii="Gotham Thin" w:eastAsia="Times New Roman" w:hAnsi="Gotham Thin" w:cs="Times New Roman"/>
      <w:bCs/>
      <w:color w:val="324851"/>
      <w:sz w:val="26"/>
      <w:szCs w:val="24"/>
      <w:lang w:eastAsia="en-AU"/>
    </w:rPr>
  </w:style>
  <w:style w:type="character" w:customStyle="1" w:styleId="Heading4Char">
    <w:name w:val="Heading 4 Char"/>
    <w:basedOn w:val="DefaultParagraphFont"/>
    <w:link w:val="Heading4"/>
    <w:rsid w:val="002E6048"/>
    <w:rPr>
      <w:rFonts w:ascii="Gotham" w:eastAsia="Times New Roman" w:hAnsi="Gotham" w:cs="Times New Roman"/>
      <w:bCs/>
      <w:color w:val="122872"/>
      <w:sz w:val="24"/>
      <w:lang w:eastAsia="en-AU"/>
    </w:rPr>
  </w:style>
  <w:style w:type="paragraph" w:customStyle="1" w:styleId="NbrHeading1">
    <w:name w:val="Nbr Heading 1"/>
    <w:basedOn w:val="Heading1"/>
    <w:next w:val="BodyText"/>
    <w:uiPriority w:val="9"/>
    <w:qFormat/>
    <w:rsid w:val="00D00F4A"/>
    <w:pPr>
      <w:numPr>
        <w:ilvl w:val="1"/>
        <w:numId w:val="22"/>
      </w:numPr>
    </w:pPr>
    <w:rPr>
      <w:bCs w:val="0"/>
    </w:rPr>
  </w:style>
  <w:style w:type="paragraph" w:customStyle="1" w:styleId="NbrHeading2">
    <w:name w:val="Nbr Heading 2"/>
    <w:basedOn w:val="Heading2"/>
    <w:next w:val="BodyText"/>
    <w:uiPriority w:val="9"/>
    <w:qFormat/>
    <w:rsid w:val="00D00F4A"/>
    <w:pPr>
      <w:numPr>
        <w:ilvl w:val="2"/>
        <w:numId w:val="22"/>
      </w:numPr>
    </w:pPr>
  </w:style>
  <w:style w:type="paragraph" w:customStyle="1" w:styleId="NbrHeading3">
    <w:name w:val="Nbr Heading 3"/>
    <w:basedOn w:val="Heading3"/>
    <w:next w:val="BodyText"/>
    <w:uiPriority w:val="9"/>
    <w:qFormat/>
    <w:rsid w:val="00D00F4A"/>
    <w:pPr>
      <w:numPr>
        <w:ilvl w:val="3"/>
        <w:numId w:val="22"/>
      </w:numPr>
    </w:pPr>
  </w:style>
  <w:style w:type="paragraph" w:customStyle="1" w:styleId="NbrHeading4">
    <w:name w:val="Nbr Heading 4"/>
    <w:basedOn w:val="Heading4"/>
    <w:next w:val="BodyText"/>
    <w:uiPriority w:val="9"/>
    <w:qFormat/>
    <w:rsid w:val="002E6048"/>
    <w:pPr>
      <w:numPr>
        <w:ilvl w:val="4"/>
        <w:numId w:val="22"/>
      </w:numPr>
    </w:pPr>
  </w:style>
  <w:style w:type="paragraph" w:styleId="Title">
    <w:name w:val="Title"/>
    <w:basedOn w:val="Normal"/>
    <w:next w:val="BodyText"/>
    <w:link w:val="TitleChar"/>
    <w:uiPriority w:val="9"/>
    <w:rsid w:val="00D00F4A"/>
    <w:pPr>
      <w:spacing w:before="360" w:after="360"/>
    </w:pPr>
    <w:rPr>
      <w:rFonts w:asciiTheme="majorHAnsi" w:eastAsiaTheme="majorEastAsia" w:hAnsiTheme="majorHAnsi" w:cstheme="majorBidi"/>
      <w:caps/>
      <w:color w:val="FFFFFF" w:themeColor="background1"/>
      <w:sz w:val="40"/>
      <w:szCs w:val="52"/>
    </w:rPr>
  </w:style>
  <w:style w:type="character" w:customStyle="1" w:styleId="TitleChar">
    <w:name w:val="Title Char"/>
    <w:basedOn w:val="DefaultParagraphFont"/>
    <w:link w:val="Title"/>
    <w:uiPriority w:val="9"/>
    <w:rsid w:val="00D00F4A"/>
    <w:rPr>
      <w:rFonts w:asciiTheme="majorHAnsi" w:eastAsiaTheme="majorEastAsia" w:hAnsiTheme="majorHAnsi" w:cstheme="majorBidi"/>
      <w:caps/>
      <w:color w:val="FFFFFF" w:themeColor="background1"/>
      <w:sz w:val="40"/>
      <w:szCs w:val="52"/>
    </w:rPr>
  </w:style>
  <w:style w:type="paragraph" w:styleId="Subtitle">
    <w:name w:val="Subtitle"/>
    <w:basedOn w:val="Normal"/>
    <w:next w:val="BodyText"/>
    <w:link w:val="SubtitleChar"/>
    <w:uiPriority w:val="10"/>
    <w:rsid w:val="00D00F4A"/>
    <w:pPr>
      <w:numPr>
        <w:ilvl w:val="1"/>
      </w:numPr>
      <w:spacing w:before="240" w:after="840"/>
    </w:pPr>
    <w:rPr>
      <w:rFonts w:asciiTheme="majorHAnsi" w:eastAsiaTheme="majorEastAsia" w:hAnsiTheme="majorHAnsi" w:cstheme="majorBidi"/>
      <w:iCs/>
      <w:caps/>
      <w:color w:val="FFFFFF" w:themeColor="background1"/>
      <w:sz w:val="36"/>
      <w:szCs w:val="24"/>
    </w:rPr>
  </w:style>
  <w:style w:type="character" w:customStyle="1" w:styleId="SubtitleChar">
    <w:name w:val="Subtitle Char"/>
    <w:basedOn w:val="DefaultParagraphFont"/>
    <w:link w:val="Subtitle"/>
    <w:uiPriority w:val="10"/>
    <w:rsid w:val="00D00F4A"/>
    <w:rPr>
      <w:rFonts w:asciiTheme="majorHAnsi" w:eastAsiaTheme="majorEastAsia" w:hAnsiTheme="majorHAnsi" w:cstheme="majorBidi"/>
      <w:iCs/>
      <w:caps/>
      <w:color w:val="FFFFFF" w:themeColor="background1"/>
      <w:sz w:val="36"/>
      <w:szCs w:val="24"/>
    </w:rPr>
  </w:style>
  <w:style w:type="paragraph" w:styleId="BodyText2">
    <w:name w:val="Body Text 2"/>
    <w:basedOn w:val="BodyText"/>
    <w:link w:val="BodyText2Char"/>
    <w:uiPriority w:val="99"/>
    <w:semiHidden/>
    <w:qFormat/>
    <w:rsid w:val="00D00F4A"/>
    <w:pPr>
      <w:numPr>
        <w:ilvl w:val="1"/>
      </w:numPr>
      <w:tabs>
        <w:tab w:val="left" w:pos="567"/>
      </w:tabs>
    </w:pPr>
  </w:style>
  <w:style w:type="character" w:customStyle="1" w:styleId="BodyText2Char">
    <w:name w:val="Body Text 2 Char"/>
    <w:basedOn w:val="DefaultParagraphFont"/>
    <w:link w:val="BodyText2"/>
    <w:uiPriority w:val="99"/>
    <w:semiHidden/>
    <w:rsid w:val="00D00F4A"/>
    <w:rPr>
      <w:rFonts w:eastAsia="Times New Roman" w:cs="Times New Roman"/>
      <w:szCs w:val="24"/>
      <w:lang w:eastAsia="en-AU"/>
    </w:rPr>
  </w:style>
  <w:style w:type="paragraph" w:styleId="Header">
    <w:name w:val="header"/>
    <w:basedOn w:val="Normal"/>
    <w:link w:val="HeaderChar"/>
    <w:uiPriority w:val="99"/>
    <w:unhideWhenUsed/>
    <w:rsid w:val="00D00F4A"/>
    <w:pPr>
      <w:spacing w:before="420"/>
      <w:ind w:right="-1"/>
    </w:pPr>
    <w:rPr>
      <w:caps/>
    </w:rPr>
  </w:style>
  <w:style w:type="character" w:customStyle="1" w:styleId="HeaderChar">
    <w:name w:val="Header Char"/>
    <w:basedOn w:val="DefaultParagraphFont"/>
    <w:link w:val="Header"/>
    <w:uiPriority w:val="99"/>
    <w:rsid w:val="00D00F4A"/>
    <w:rPr>
      <w:caps/>
      <w:sz w:val="20"/>
    </w:rPr>
  </w:style>
  <w:style w:type="paragraph" w:styleId="Footer">
    <w:name w:val="footer"/>
    <w:basedOn w:val="Normal"/>
    <w:link w:val="FooterChar"/>
    <w:uiPriority w:val="99"/>
    <w:unhideWhenUsed/>
    <w:rsid w:val="00D00F4A"/>
    <w:pPr>
      <w:pBdr>
        <w:top w:val="single" w:sz="4" w:space="6" w:color="324851" w:themeColor="accent1"/>
      </w:pBdr>
      <w:tabs>
        <w:tab w:val="right" w:pos="9639"/>
      </w:tabs>
    </w:pPr>
    <w:rPr>
      <w:caps/>
      <w:noProof/>
      <w:lang w:eastAsia="en-AU"/>
    </w:rPr>
  </w:style>
  <w:style w:type="character" w:customStyle="1" w:styleId="FooterChar">
    <w:name w:val="Footer Char"/>
    <w:basedOn w:val="DefaultParagraphFont"/>
    <w:link w:val="Footer"/>
    <w:uiPriority w:val="99"/>
    <w:rsid w:val="00D00F4A"/>
    <w:rPr>
      <w:caps/>
      <w:noProof/>
      <w:sz w:val="20"/>
      <w:lang w:eastAsia="en-AU"/>
    </w:rPr>
  </w:style>
  <w:style w:type="paragraph" w:styleId="ListNumber0">
    <w:name w:val="List Number"/>
    <w:basedOn w:val="Normal"/>
    <w:uiPriority w:val="2"/>
    <w:qFormat/>
    <w:rsid w:val="00D00F4A"/>
    <w:pPr>
      <w:numPr>
        <w:numId w:val="5"/>
      </w:numPr>
      <w:spacing w:before="120" w:after="120" w:line="264" w:lineRule="auto"/>
    </w:pPr>
    <w:rPr>
      <w:rFonts w:eastAsia="Times New Roman" w:cs="Times New Roman"/>
      <w:szCs w:val="24"/>
      <w:lang w:eastAsia="en-AU"/>
    </w:rPr>
  </w:style>
  <w:style w:type="paragraph" w:styleId="ListBullet0">
    <w:name w:val="List Bullet"/>
    <w:basedOn w:val="Normal"/>
    <w:uiPriority w:val="1"/>
    <w:qFormat/>
    <w:rsid w:val="0092253E"/>
    <w:pPr>
      <w:numPr>
        <w:numId w:val="3"/>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qFormat/>
    <w:rsid w:val="00D00F4A"/>
    <w:pPr>
      <w:pageBreakBefore w:val="0"/>
      <w:spacing w:before="360"/>
    </w:pPr>
  </w:style>
  <w:style w:type="character" w:styleId="Hyperlink">
    <w:name w:val="Hyperlink"/>
    <w:basedOn w:val="DefaultParagraphFont"/>
    <w:uiPriority w:val="99"/>
    <w:qFormat/>
    <w:rsid w:val="002E6048"/>
    <w:rPr>
      <w:color w:val="324851"/>
      <w:u w:val="single"/>
    </w:rPr>
  </w:style>
  <w:style w:type="paragraph" w:styleId="TOC1">
    <w:name w:val="toc 1"/>
    <w:basedOn w:val="Normal"/>
    <w:next w:val="Normal"/>
    <w:uiPriority w:val="39"/>
    <w:rsid w:val="00AF22A1"/>
    <w:pPr>
      <w:keepNext/>
      <w:tabs>
        <w:tab w:val="right" w:leader="dot" w:pos="9639"/>
      </w:tabs>
      <w:spacing w:before="120" w:after="40"/>
    </w:pPr>
    <w:rPr>
      <w:b/>
      <w:sz w:val="24"/>
    </w:rPr>
  </w:style>
  <w:style w:type="paragraph" w:styleId="TOC2">
    <w:name w:val="toc 2"/>
    <w:basedOn w:val="Normal"/>
    <w:next w:val="Normal"/>
    <w:uiPriority w:val="39"/>
    <w:rsid w:val="00D00F4A"/>
    <w:pPr>
      <w:tabs>
        <w:tab w:val="right" w:pos="9639"/>
      </w:tabs>
      <w:spacing w:before="20" w:after="20"/>
      <w:ind w:right="567"/>
    </w:pPr>
    <w:rPr>
      <w:sz w:val="24"/>
    </w:rPr>
  </w:style>
  <w:style w:type="paragraph" w:styleId="TOC3">
    <w:name w:val="toc 3"/>
    <w:basedOn w:val="Normal"/>
    <w:next w:val="Normal"/>
    <w:uiPriority w:val="39"/>
    <w:rsid w:val="00D00F4A"/>
    <w:pPr>
      <w:tabs>
        <w:tab w:val="right" w:pos="9639"/>
      </w:tabs>
      <w:spacing w:before="20" w:after="20"/>
    </w:pPr>
    <w:rPr>
      <w:noProof/>
    </w:rPr>
  </w:style>
  <w:style w:type="table" w:styleId="TableGrid">
    <w:name w:val="Table Grid"/>
    <w:basedOn w:val="TableNormal"/>
    <w:uiPriority w:val="39"/>
    <w:rsid w:val="00D00F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angeTable2Secondary">
    <w:name w:val="Orange Table 2 (Secondary)"/>
    <w:basedOn w:val="OrangeTable1Secondary"/>
    <w:uiPriority w:val="99"/>
    <w:rsid w:val="00D00F4A"/>
    <w:tblPr>
      <w:tblBorders>
        <w:top w:val="none" w:sz="0" w:space="0" w:color="auto"/>
        <w:left w:val="none" w:sz="0" w:space="0" w:color="auto"/>
        <w:bottom w:val="single" w:sz="4" w:space="0" w:color="324851" w:themeColor="accent1"/>
        <w:right w:val="none" w:sz="0" w:space="0" w:color="auto"/>
        <w:insideH w:val="single" w:sz="4" w:space="0" w:color="324851" w:themeColor="accent1"/>
        <w:insideV w:val="none" w:sz="0" w:space="0" w:color="auto"/>
      </w:tblBorders>
    </w:tblPr>
    <w:tcPr>
      <w:shd w:val="clear" w:color="auto" w:fill="auto"/>
    </w:tcPr>
    <w:tblStylePr w:type="firstRow">
      <w:rPr>
        <w:color w:val="auto"/>
      </w:rPr>
      <w:tblPr/>
      <w:trPr>
        <w:tblHeader/>
      </w:tr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324851" w:themeFill="accent1"/>
      </w:tcPr>
    </w:tblStylePr>
    <w:tblStylePr w:type="lastRow">
      <w:rPr>
        <w:b/>
      </w:rPr>
      <w:tblPr/>
      <w:tcPr>
        <w:shd w:val="clear" w:color="auto" w:fill="A1BAC5" w:themeFill="accent1" w:themeFillTint="66"/>
      </w:tcPr>
    </w:tblStylePr>
    <w:tblStylePr w:type="firstCol">
      <w:rPr>
        <w:color w:val="auto"/>
      </w:rPr>
      <w:tblPr/>
      <w:tcPr>
        <w:tcBorders>
          <w:insideH w:val="nil"/>
        </w:tcBorders>
        <w:shd w:val="clear" w:color="auto" w:fill="324851" w:themeFill="accent1"/>
      </w:tcPr>
    </w:tblStylePr>
    <w:tblStylePr w:type="lastCol">
      <w:tblPr/>
      <w:tcPr>
        <w:shd w:val="clear" w:color="auto" w:fill="D0DCE2" w:themeFill="accent1" w:themeFillTint="33"/>
      </w:tcPr>
    </w:tblStylePr>
    <w:tblStylePr w:type="band2Vert">
      <w:tblPr/>
      <w:tcPr>
        <w:shd w:val="clear" w:color="auto" w:fill="D0DCE2" w:themeFill="accent1" w:themeFillTint="33"/>
      </w:tcPr>
    </w:tblStylePr>
    <w:tblStylePr w:type="band2Horz">
      <w:tblPr/>
      <w:tcPr>
        <w:shd w:val="clear" w:color="auto" w:fill="D0DCE2" w:themeFill="accent1" w:themeFillTint="33"/>
      </w:tcPr>
    </w:tblStylePr>
  </w:style>
  <w:style w:type="paragraph" w:customStyle="1" w:styleId="TableHeading">
    <w:name w:val="Table Heading"/>
    <w:basedOn w:val="Normal"/>
    <w:next w:val="BodyText"/>
    <w:uiPriority w:val="3"/>
    <w:qFormat/>
    <w:rsid w:val="00AF22A1"/>
    <w:pPr>
      <w:keepNext/>
      <w:keepLines/>
      <w:spacing w:before="80" w:after="80"/>
      <w:ind w:left="113" w:right="113"/>
    </w:pPr>
    <w:rPr>
      <w:b/>
    </w:rPr>
  </w:style>
  <w:style w:type="paragraph" w:customStyle="1" w:styleId="TableText">
    <w:name w:val="Table Text"/>
    <w:basedOn w:val="Normal"/>
    <w:uiPriority w:val="3"/>
    <w:qFormat/>
    <w:rsid w:val="0092253E"/>
    <w:pPr>
      <w:spacing w:before="60" w:after="60"/>
      <w:ind w:left="113" w:right="113"/>
    </w:pPr>
    <w:rPr>
      <w:sz w:val="18"/>
    </w:rPr>
  </w:style>
  <w:style w:type="paragraph" w:customStyle="1" w:styleId="TableBullet">
    <w:name w:val="Table Bullet"/>
    <w:basedOn w:val="TableText"/>
    <w:uiPriority w:val="5"/>
    <w:qFormat/>
    <w:rsid w:val="00D00F4A"/>
    <w:pPr>
      <w:numPr>
        <w:numId w:val="10"/>
      </w:numPr>
    </w:pPr>
    <w:rPr>
      <w:rFonts w:eastAsia="Times New Roman" w:cs="Times New Roman"/>
      <w:szCs w:val="24"/>
      <w:lang w:eastAsia="en-AU"/>
    </w:rPr>
  </w:style>
  <w:style w:type="paragraph" w:customStyle="1" w:styleId="TableNumber">
    <w:name w:val="Table Number"/>
    <w:basedOn w:val="TableText"/>
    <w:uiPriority w:val="4"/>
    <w:qFormat/>
    <w:rsid w:val="00D00F4A"/>
    <w:pPr>
      <w:numPr>
        <w:numId w:val="11"/>
      </w:numPr>
    </w:pPr>
  </w:style>
  <w:style w:type="character" w:customStyle="1" w:styleId="Heading5Char">
    <w:name w:val="Heading 5 Char"/>
    <w:basedOn w:val="DefaultParagraphFont"/>
    <w:link w:val="Heading5"/>
    <w:rsid w:val="002E6048"/>
    <w:rPr>
      <w:rFonts w:ascii="Gotham Thin" w:eastAsia="Times New Roman" w:hAnsi="Gotham Thin" w:cs="Times New Roman"/>
      <w:bCs/>
      <w:iCs/>
      <w:color w:val="122872"/>
      <w:szCs w:val="26"/>
      <w:lang w:eastAsia="en-AU"/>
    </w:rPr>
  </w:style>
  <w:style w:type="character" w:customStyle="1" w:styleId="Heading6Char">
    <w:name w:val="Heading 6 Char"/>
    <w:basedOn w:val="DefaultParagraphFont"/>
    <w:link w:val="Heading6"/>
    <w:uiPriority w:val="99"/>
    <w:semiHidden/>
    <w:rsid w:val="00D00F4A"/>
    <w:rPr>
      <w:rFonts w:eastAsia="Times New Roman" w:cs="Times New Roman"/>
      <w:bCs/>
      <w:lang w:eastAsia="en-AU"/>
    </w:rPr>
  </w:style>
  <w:style w:type="paragraph" w:styleId="BodyText3">
    <w:name w:val="Body Text 3"/>
    <w:basedOn w:val="BodyText"/>
    <w:link w:val="BodyText3Char"/>
    <w:uiPriority w:val="99"/>
    <w:semiHidden/>
    <w:qFormat/>
    <w:rsid w:val="00D00F4A"/>
    <w:pPr>
      <w:numPr>
        <w:ilvl w:val="2"/>
      </w:numPr>
    </w:pPr>
    <w:rPr>
      <w:szCs w:val="16"/>
    </w:rPr>
  </w:style>
  <w:style w:type="character" w:customStyle="1" w:styleId="BodyText3Char">
    <w:name w:val="Body Text 3 Char"/>
    <w:basedOn w:val="DefaultParagraphFont"/>
    <w:link w:val="BodyText3"/>
    <w:uiPriority w:val="99"/>
    <w:semiHidden/>
    <w:rsid w:val="00D00F4A"/>
    <w:rPr>
      <w:rFonts w:eastAsia="Times New Roman" w:cs="Times New Roman"/>
      <w:szCs w:val="16"/>
      <w:lang w:eastAsia="en-AU"/>
    </w:rPr>
  </w:style>
  <w:style w:type="paragraph" w:styleId="ListParagraph0">
    <w:name w:val="List Paragraph"/>
    <w:basedOn w:val="ListBullet0"/>
    <w:link w:val="ListParagraphChar"/>
    <w:uiPriority w:val="34"/>
    <w:qFormat/>
    <w:rsid w:val="00D00F4A"/>
    <w:pPr>
      <w:numPr>
        <w:numId w:val="7"/>
      </w:numPr>
    </w:pPr>
  </w:style>
  <w:style w:type="paragraph" w:styleId="TOC4">
    <w:name w:val="toc 4"/>
    <w:basedOn w:val="Normal"/>
    <w:next w:val="Normal"/>
    <w:uiPriority w:val="39"/>
    <w:rsid w:val="00D00F4A"/>
    <w:pPr>
      <w:tabs>
        <w:tab w:val="right" w:pos="9639"/>
      </w:tabs>
      <w:ind w:left="567" w:hanging="567"/>
    </w:pPr>
    <w:rPr>
      <w:color w:val="414042" w:themeColor="accent2"/>
      <w:sz w:val="18"/>
    </w:rPr>
  </w:style>
  <w:style w:type="paragraph" w:customStyle="1" w:styleId="NbrHeading5">
    <w:name w:val="Nbr Heading 5"/>
    <w:basedOn w:val="Heading5"/>
    <w:next w:val="BodyText"/>
    <w:uiPriority w:val="9"/>
    <w:qFormat/>
    <w:rsid w:val="00D00F4A"/>
    <w:pPr>
      <w:numPr>
        <w:ilvl w:val="5"/>
        <w:numId w:val="22"/>
      </w:numPr>
    </w:pPr>
  </w:style>
  <w:style w:type="table" w:customStyle="1" w:styleId="GreyTable1">
    <w:name w:val="Grey Table 1"/>
    <w:basedOn w:val="OrangeTable1Secondary"/>
    <w:uiPriority w:val="99"/>
    <w:rsid w:val="00D00F4A"/>
    <w:tblPr>
      <w:tblBorders>
        <w:top w:val="single" w:sz="4" w:space="0" w:color="D5D6D8" w:themeColor="accent6"/>
        <w:left w:val="single" w:sz="4" w:space="0" w:color="D5D6D8" w:themeColor="accent6"/>
        <w:bottom w:val="single" w:sz="4" w:space="0" w:color="D5D6D8" w:themeColor="accent6"/>
        <w:right w:val="single" w:sz="4" w:space="0" w:color="D5D6D8" w:themeColor="accent6"/>
        <w:insideH w:val="single" w:sz="4" w:space="0" w:color="D5D6D8" w:themeColor="accent6"/>
        <w:insideV w:val="single" w:sz="4" w:space="0" w:color="D5D6D8" w:themeColor="accent6"/>
      </w:tblBorders>
    </w:tblPr>
    <w:tcPr>
      <w:shd w:val="clear" w:color="auto" w:fill="auto"/>
    </w:tcPr>
    <w:tblStylePr w:type="firstRow">
      <w:rPr>
        <w:color w:val="FFFFFF" w:themeColor="background1"/>
      </w:rPr>
      <w:tblPr/>
      <w:trPr>
        <w:tblHeader/>
      </w:trPr>
      <w:tcPr>
        <w:tcBorders>
          <w:top w:val="single" w:sz="4" w:space="0" w:color="D5D6D8" w:themeColor="accent6"/>
          <w:left w:val="single" w:sz="4" w:space="0" w:color="D5D6D8" w:themeColor="accent6"/>
          <w:bottom w:val="single" w:sz="4" w:space="0" w:color="D5D6D8" w:themeColor="accent6"/>
          <w:right w:val="single" w:sz="4" w:space="0" w:color="D5D6D8" w:themeColor="accent6"/>
          <w:insideH w:val="single" w:sz="4" w:space="0" w:color="D5D6D8" w:themeColor="accent6"/>
          <w:insideV w:val="single" w:sz="4" w:space="0" w:color="D5D6D8" w:themeColor="accent6"/>
        </w:tcBorders>
        <w:shd w:val="clear" w:color="auto" w:fill="414042" w:themeFill="accent2"/>
      </w:tcPr>
    </w:tblStylePr>
    <w:tblStylePr w:type="lastRow">
      <w:rPr>
        <w:b/>
      </w:rPr>
      <w:tblPr/>
      <w:tcPr>
        <w:shd w:val="clear" w:color="auto" w:fill="D8D8D9" w:themeFill="text2" w:themeFillTint="33"/>
      </w:tcPr>
    </w:tblStylePr>
    <w:tblStylePr w:type="firstCol">
      <w:rPr>
        <w:color w:val="FFFFFF" w:themeColor="background1"/>
      </w:rPr>
      <w:tblPr/>
      <w:tcPr>
        <w:tcBorders>
          <w:insideH w:val="nil"/>
        </w:tcBorders>
        <w:shd w:val="clear" w:color="auto" w:fill="414042"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BalloonText">
    <w:name w:val="Balloon Text"/>
    <w:basedOn w:val="Normal"/>
    <w:link w:val="BalloonTextChar"/>
    <w:uiPriority w:val="99"/>
    <w:semiHidden/>
    <w:rsid w:val="00D00F4A"/>
    <w:rPr>
      <w:rFonts w:ascii="Tahoma" w:hAnsi="Tahoma" w:cs="Tahoma"/>
      <w:sz w:val="16"/>
      <w:szCs w:val="16"/>
    </w:rPr>
  </w:style>
  <w:style w:type="character" w:customStyle="1" w:styleId="BalloonTextChar">
    <w:name w:val="Balloon Text Char"/>
    <w:basedOn w:val="DefaultParagraphFont"/>
    <w:link w:val="BalloonText"/>
    <w:uiPriority w:val="99"/>
    <w:semiHidden/>
    <w:rsid w:val="00D00F4A"/>
    <w:rPr>
      <w:rFonts w:ascii="Tahoma" w:hAnsi="Tahoma" w:cs="Tahoma"/>
      <w:sz w:val="16"/>
      <w:szCs w:val="16"/>
    </w:rPr>
  </w:style>
  <w:style w:type="paragraph" w:styleId="Quote">
    <w:name w:val="Quote"/>
    <w:basedOn w:val="Normal"/>
    <w:next w:val="Normal"/>
    <w:link w:val="QuoteChar"/>
    <w:uiPriority w:val="7"/>
    <w:qFormat/>
    <w:rsid w:val="00D00F4A"/>
    <w:pPr>
      <w:spacing w:before="240" w:after="240"/>
      <w:ind w:left="567" w:right="567"/>
      <w:jc w:val="center"/>
    </w:pPr>
    <w:rPr>
      <w:i/>
      <w:iCs/>
      <w:sz w:val="24"/>
    </w:rPr>
  </w:style>
  <w:style w:type="character" w:customStyle="1" w:styleId="QuoteChar">
    <w:name w:val="Quote Char"/>
    <w:basedOn w:val="DefaultParagraphFont"/>
    <w:link w:val="Quote"/>
    <w:uiPriority w:val="7"/>
    <w:rsid w:val="00D00F4A"/>
    <w:rPr>
      <w:i/>
      <w:iCs/>
      <w:sz w:val="24"/>
    </w:rPr>
  </w:style>
  <w:style w:type="paragraph" w:customStyle="1" w:styleId="FigureCaption">
    <w:name w:val="Figure Caption"/>
    <w:basedOn w:val="Normal"/>
    <w:next w:val="FigureStyle"/>
    <w:uiPriority w:val="6"/>
    <w:qFormat/>
    <w:rsid w:val="0092253E"/>
    <w:pPr>
      <w:keepNext/>
      <w:tabs>
        <w:tab w:val="left" w:pos="1134"/>
      </w:tabs>
      <w:spacing w:before="240" w:after="120"/>
      <w:ind w:left="1134" w:hanging="1134"/>
    </w:pPr>
    <w:rPr>
      <w:color w:val="324851"/>
      <w:sz w:val="18"/>
    </w:rPr>
  </w:style>
  <w:style w:type="paragraph" w:customStyle="1" w:styleId="TableCaption">
    <w:name w:val="Table Caption"/>
    <w:basedOn w:val="Caption"/>
    <w:uiPriority w:val="6"/>
    <w:qFormat/>
    <w:rsid w:val="0092253E"/>
    <w:pPr>
      <w:keepNext/>
    </w:pPr>
    <w:rPr>
      <w:b w:val="0"/>
      <w:color w:val="324851"/>
      <w:sz w:val="18"/>
    </w:rPr>
  </w:style>
  <w:style w:type="paragraph" w:customStyle="1" w:styleId="FigureStyle">
    <w:name w:val="Figure Style"/>
    <w:basedOn w:val="BodyText"/>
    <w:next w:val="BodyText"/>
    <w:uiPriority w:val="6"/>
    <w:qFormat/>
    <w:rsid w:val="0092253E"/>
    <w:pPr>
      <w:spacing w:after="240" w:line="240" w:lineRule="auto"/>
      <w:jc w:val="center"/>
    </w:pPr>
    <w:rPr>
      <w:sz w:val="18"/>
    </w:rPr>
  </w:style>
  <w:style w:type="paragraph" w:styleId="TOC5">
    <w:name w:val="toc 5"/>
    <w:basedOn w:val="TOC1"/>
    <w:next w:val="Normal"/>
    <w:uiPriority w:val="39"/>
    <w:rsid w:val="00D00F4A"/>
    <w:pPr>
      <w:tabs>
        <w:tab w:val="left" w:pos="1134"/>
      </w:tabs>
      <w:ind w:left="1134" w:hanging="1134"/>
    </w:pPr>
    <w:rPr>
      <w:noProof/>
    </w:rPr>
  </w:style>
  <w:style w:type="paragraph" w:styleId="TOC6">
    <w:name w:val="toc 6"/>
    <w:basedOn w:val="TOC2"/>
    <w:next w:val="Normal"/>
    <w:uiPriority w:val="39"/>
    <w:rsid w:val="00DA2884"/>
    <w:pPr>
      <w:tabs>
        <w:tab w:val="left" w:pos="1134"/>
      </w:tabs>
      <w:ind w:left="1134" w:right="0" w:hanging="1134"/>
    </w:pPr>
    <w:rPr>
      <w:noProof/>
    </w:rPr>
  </w:style>
  <w:style w:type="paragraph" w:styleId="TOC7">
    <w:name w:val="toc 7"/>
    <w:basedOn w:val="TOC3"/>
    <w:next w:val="Normal"/>
    <w:uiPriority w:val="39"/>
    <w:rsid w:val="00D00F4A"/>
    <w:pPr>
      <w:tabs>
        <w:tab w:val="left" w:pos="1134"/>
      </w:tabs>
      <w:ind w:left="1134" w:hanging="1134"/>
    </w:pPr>
  </w:style>
  <w:style w:type="paragraph" w:styleId="TOC8">
    <w:name w:val="toc 8"/>
    <w:basedOn w:val="TOC4"/>
    <w:next w:val="Normal"/>
    <w:uiPriority w:val="39"/>
    <w:rsid w:val="00D00F4A"/>
    <w:pPr>
      <w:tabs>
        <w:tab w:val="left" w:pos="1134"/>
      </w:tabs>
      <w:spacing w:before="20" w:after="20"/>
      <w:ind w:left="1134" w:hanging="1134"/>
    </w:pPr>
    <w:rPr>
      <w:sz w:val="16"/>
    </w:rPr>
  </w:style>
  <w:style w:type="paragraph" w:styleId="TOC9">
    <w:name w:val="toc 9"/>
    <w:basedOn w:val="Normal"/>
    <w:next w:val="Normal"/>
    <w:uiPriority w:val="39"/>
    <w:rsid w:val="00D00F4A"/>
    <w:pPr>
      <w:tabs>
        <w:tab w:val="left" w:pos="1985"/>
        <w:tab w:val="right" w:leader="dot" w:pos="9639"/>
      </w:tabs>
      <w:spacing w:before="120" w:after="40"/>
      <w:ind w:left="1985" w:hanging="1985"/>
    </w:pPr>
    <w:rPr>
      <w:b/>
      <w:caps/>
      <w:noProof/>
      <w:sz w:val="24"/>
    </w:rPr>
  </w:style>
  <w:style w:type="numbering" w:customStyle="1" w:styleId="ListNumber">
    <w:name w:val="List_Number"/>
    <w:uiPriority w:val="99"/>
    <w:rsid w:val="00D00F4A"/>
    <w:pPr>
      <w:numPr>
        <w:numId w:val="5"/>
      </w:numPr>
    </w:pPr>
  </w:style>
  <w:style w:type="numbering" w:customStyle="1" w:styleId="ListParagraph">
    <w:name w:val="List_Paragraph"/>
    <w:uiPriority w:val="99"/>
    <w:rsid w:val="00D00F4A"/>
    <w:pPr>
      <w:numPr>
        <w:numId w:val="7"/>
      </w:numPr>
    </w:pPr>
  </w:style>
  <w:style w:type="paragraph" w:styleId="Caption">
    <w:name w:val="caption"/>
    <w:basedOn w:val="Normal"/>
    <w:next w:val="Normal"/>
    <w:link w:val="CaptionChar"/>
    <w:uiPriority w:val="35"/>
    <w:qFormat/>
    <w:rsid w:val="00D00F4A"/>
    <w:pPr>
      <w:tabs>
        <w:tab w:val="left" w:pos="1134"/>
      </w:tabs>
      <w:spacing w:before="240" w:after="120"/>
      <w:ind w:left="1134" w:hanging="1134"/>
    </w:pPr>
    <w:rPr>
      <w:b/>
    </w:rPr>
  </w:style>
  <w:style w:type="paragraph" w:customStyle="1" w:styleId="ListAlpha0">
    <w:name w:val="List Alpha"/>
    <w:basedOn w:val="BodyText"/>
    <w:uiPriority w:val="2"/>
    <w:qFormat/>
    <w:rsid w:val="00D00F4A"/>
    <w:pPr>
      <w:numPr>
        <w:numId w:val="1"/>
      </w:numPr>
    </w:pPr>
  </w:style>
  <w:style w:type="numbering" w:customStyle="1" w:styleId="ListAlpha">
    <w:name w:val="List_Alpha"/>
    <w:uiPriority w:val="99"/>
    <w:rsid w:val="00D00F4A"/>
    <w:pPr>
      <w:numPr>
        <w:numId w:val="1"/>
      </w:numPr>
    </w:pPr>
  </w:style>
  <w:style w:type="paragraph" w:styleId="TableofAuthorities">
    <w:name w:val="table of authorities"/>
    <w:basedOn w:val="Normal"/>
    <w:next w:val="Normal"/>
    <w:uiPriority w:val="99"/>
    <w:semiHidden/>
    <w:rsid w:val="00D00F4A"/>
    <w:pPr>
      <w:ind w:left="200" w:hanging="200"/>
    </w:pPr>
  </w:style>
  <w:style w:type="paragraph" w:styleId="TableofFigures">
    <w:name w:val="table of figures"/>
    <w:basedOn w:val="TOC3"/>
    <w:next w:val="Normal"/>
    <w:uiPriority w:val="99"/>
    <w:rsid w:val="00D00F4A"/>
    <w:pPr>
      <w:tabs>
        <w:tab w:val="left" w:pos="1134"/>
        <w:tab w:val="right" w:leader="dot" w:pos="9639"/>
      </w:tabs>
      <w:ind w:left="1134" w:hanging="1134"/>
    </w:pPr>
    <w:rPr>
      <w:sz w:val="24"/>
    </w:rPr>
  </w:style>
  <w:style w:type="table" w:customStyle="1" w:styleId="OrangeTable1Secondary">
    <w:name w:val="Orange Table 1 (Secondary)"/>
    <w:basedOn w:val="TableNormal"/>
    <w:uiPriority w:val="99"/>
    <w:rsid w:val="00D00F4A"/>
    <w:pPr>
      <w:spacing w:before="0" w:after="0"/>
    </w:pPr>
    <w:tblPr>
      <w:tblStyleRowBandSize w:val="1"/>
      <w:tblStyleColBandSize w:val="1"/>
      <w:tblBorders>
        <w:top w:val="single" w:sz="4" w:space="0" w:color="192328" w:themeColor="accent1" w:themeShade="80"/>
        <w:left w:val="single" w:sz="4" w:space="0" w:color="192328" w:themeColor="accent1" w:themeShade="80"/>
        <w:bottom w:val="single" w:sz="4" w:space="0" w:color="192328" w:themeColor="accent1" w:themeShade="80"/>
        <w:right w:val="single" w:sz="4" w:space="0" w:color="192328" w:themeColor="accent1" w:themeShade="80"/>
        <w:insideH w:val="single" w:sz="4" w:space="0" w:color="192328" w:themeColor="accent1" w:themeShade="80"/>
        <w:insideV w:val="single" w:sz="4" w:space="0" w:color="192328" w:themeColor="accent1" w:themeShade="80"/>
      </w:tblBorders>
      <w:tblCellMar>
        <w:left w:w="0" w:type="dxa"/>
        <w:right w:w="0" w:type="dxa"/>
      </w:tblCellMar>
    </w:tblPr>
    <w:trPr>
      <w:cantSplit/>
    </w:trPr>
    <w:tcPr>
      <w:shd w:val="clear" w:color="auto" w:fill="auto"/>
    </w:tcPr>
    <w:tblStylePr w:type="firstRow">
      <w:rPr>
        <w:color w:val="auto"/>
      </w:rPr>
      <w:tblPr/>
      <w:trPr>
        <w:tblHeader/>
      </w:trPr>
      <w:tcPr>
        <w:tcBorders>
          <w:top w:val="single" w:sz="4" w:space="0" w:color="192328" w:themeColor="accent1" w:themeShade="80"/>
          <w:left w:val="single" w:sz="4" w:space="0" w:color="192328" w:themeColor="accent1" w:themeShade="80"/>
          <w:bottom w:val="single" w:sz="4" w:space="0" w:color="192328" w:themeColor="accent1" w:themeShade="80"/>
          <w:right w:val="single" w:sz="4" w:space="0" w:color="192328" w:themeColor="accent1" w:themeShade="80"/>
          <w:insideH w:val="single" w:sz="4" w:space="0" w:color="192328" w:themeColor="accent1" w:themeShade="80"/>
          <w:insideV w:val="single" w:sz="4" w:space="0" w:color="192328" w:themeColor="accent1" w:themeShade="80"/>
        </w:tcBorders>
        <w:shd w:val="clear" w:color="auto" w:fill="324851" w:themeFill="accent1"/>
      </w:tcPr>
    </w:tblStylePr>
    <w:tblStylePr w:type="lastRow">
      <w:rPr>
        <w:b/>
      </w:rPr>
      <w:tblPr/>
      <w:tcPr>
        <w:shd w:val="clear" w:color="auto" w:fill="C4D4DA" w:themeFill="accent1" w:themeFillTint="40"/>
      </w:tcPr>
    </w:tblStylePr>
    <w:tblStylePr w:type="firstCol">
      <w:rPr>
        <w:color w:val="auto"/>
      </w:rPr>
      <w:tblPr/>
      <w:tcPr>
        <w:tcBorders>
          <w:insideH w:val="nil"/>
        </w:tcBorders>
        <w:shd w:val="clear" w:color="auto" w:fill="324851" w:themeFill="accent1"/>
      </w:tcPr>
    </w:tblStylePr>
    <w:tblStylePr w:type="lastCol">
      <w:tblPr/>
      <w:tcPr>
        <w:shd w:val="clear" w:color="auto" w:fill="A1BAC5" w:themeFill="accent1" w:themeFillTint="66"/>
      </w:tcPr>
    </w:tblStylePr>
    <w:tblStylePr w:type="band2Vert">
      <w:tblPr/>
      <w:tcPr>
        <w:shd w:val="clear" w:color="auto" w:fill="E7EDF0" w:themeFill="accent1" w:themeFillTint="1A"/>
      </w:tcPr>
    </w:tblStylePr>
    <w:tblStylePr w:type="band2Horz">
      <w:tblPr/>
      <w:tcPr>
        <w:shd w:val="clear" w:color="auto" w:fill="E7EDF0" w:themeFill="accent1" w:themeFillTint="1A"/>
      </w:tcPr>
    </w:tblStylePr>
  </w:style>
  <w:style w:type="table" w:customStyle="1" w:styleId="GreyTable2">
    <w:name w:val="Grey Table 2"/>
    <w:basedOn w:val="OrangeTable2Secondary"/>
    <w:uiPriority w:val="99"/>
    <w:rsid w:val="00D00F4A"/>
    <w:tblPr>
      <w:tblBorders>
        <w:top w:val="single" w:sz="4" w:space="0" w:color="D5D6D8" w:themeColor="accent6"/>
        <w:bottom w:val="single" w:sz="4" w:space="0" w:color="D5D6D8" w:themeColor="accent6"/>
        <w:insideH w:val="single" w:sz="4" w:space="0" w:color="D5D6D8" w:themeColor="accent6"/>
      </w:tblBorders>
    </w:tblPr>
    <w:tcPr>
      <w:shd w:val="clear" w:color="auto" w:fill="auto"/>
    </w:tcPr>
    <w:tblStylePr w:type="firstRow">
      <w:rPr>
        <w:color w:val="FFFFFF" w:themeColor="background1"/>
      </w:rPr>
      <w:tblPr/>
      <w:trPr>
        <w:tblHeader/>
      </w:tr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414042" w:themeFill="accent2"/>
      </w:tcPr>
    </w:tblStylePr>
    <w:tblStylePr w:type="lastRow">
      <w:rPr>
        <w:b/>
      </w:rPr>
      <w:tblPr/>
      <w:tcPr>
        <w:shd w:val="clear" w:color="auto" w:fill="D8D8D9" w:themeFill="accent2" w:themeFillTint="33"/>
      </w:tcPr>
    </w:tblStylePr>
    <w:tblStylePr w:type="firstCol">
      <w:rPr>
        <w:color w:val="FFFFFF" w:themeColor="background1"/>
      </w:rPr>
      <w:tblPr/>
      <w:tcPr>
        <w:tcBorders>
          <w:insideH w:val="nil"/>
        </w:tcBorders>
        <w:shd w:val="clear" w:color="auto" w:fill="414042"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styleId="FollowedHyperlink">
    <w:name w:val="FollowedHyperlink"/>
    <w:basedOn w:val="DefaultParagraphFont"/>
    <w:uiPriority w:val="99"/>
    <w:rsid w:val="00D00F4A"/>
    <w:rPr>
      <w:color w:val="324851" w:themeColor="accent1"/>
      <w:u w:val="single"/>
    </w:rPr>
  </w:style>
  <w:style w:type="paragraph" w:customStyle="1" w:styleId="AppendixTitle">
    <w:name w:val="Appendix Title"/>
    <w:basedOn w:val="Heading1"/>
    <w:next w:val="BodyText"/>
    <w:uiPriority w:val="13"/>
    <w:qFormat/>
    <w:rsid w:val="00330BBD"/>
    <w:pPr>
      <w:numPr>
        <w:numId w:val="2"/>
      </w:numPr>
      <w:spacing w:before="4000"/>
    </w:pPr>
    <w:rPr>
      <w:rFonts w:cs="Times New Roman"/>
      <w:sz w:val="40"/>
      <w:szCs w:val="24"/>
    </w:rPr>
  </w:style>
  <w:style w:type="paragraph" w:customStyle="1" w:styleId="AppendixHeading1">
    <w:name w:val="Appendix Heading 1"/>
    <w:basedOn w:val="Heading2"/>
    <w:next w:val="BodyText"/>
    <w:uiPriority w:val="14"/>
    <w:qFormat/>
    <w:rsid w:val="00D00F4A"/>
    <w:pPr>
      <w:tabs>
        <w:tab w:val="left" w:pos="851"/>
      </w:tabs>
    </w:pPr>
    <w:rPr>
      <w:iCs w:val="0"/>
    </w:rPr>
  </w:style>
  <w:style w:type="paragraph" w:customStyle="1" w:styleId="AppendixHeading2">
    <w:name w:val="Appendix Heading 2"/>
    <w:basedOn w:val="Heading3"/>
    <w:next w:val="BodyText"/>
    <w:uiPriority w:val="14"/>
    <w:qFormat/>
    <w:rsid w:val="00D00F4A"/>
    <w:pPr>
      <w:tabs>
        <w:tab w:val="left" w:pos="851"/>
      </w:tabs>
    </w:pPr>
  </w:style>
  <w:style w:type="paragraph" w:customStyle="1" w:styleId="ListAlpha2">
    <w:name w:val="List Alpha 2"/>
    <w:basedOn w:val="ListAlpha0"/>
    <w:uiPriority w:val="19"/>
    <w:rsid w:val="00D00F4A"/>
    <w:pPr>
      <w:numPr>
        <w:ilvl w:val="1"/>
      </w:numPr>
    </w:pPr>
  </w:style>
  <w:style w:type="paragraph" w:customStyle="1" w:styleId="ListAlpha3">
    <w:name w:val="List Alpha 3"/>
    <w:basedOn w:val="ListAlpha2"/>
    <w:uiPriority w:val="19"/>
    <w:rsid w:val="00D00F4A"/>
    <w:pPr>
      <w:numPr>
        <w:ilvl w:val="2"/>
      </w:numPr>
    </w:pPr>
  </w:style>
  <w:style w:type="paragraph" w:customStyle="1" w:styleId="ListAlpha4">
    <w:name w:val="List Alpha 4"/>
    <w:basedOn w:val="ListAlpha3"/>
    <w:uiPriority w:val="19"/>
    <w:rsid w:val="00D00F4A"/>
    <w:pPr>
      <w:numPr>
        <w:ilvl w:val="3"/>
      </w:numPr>
    </w:pPr>
  </w:style>
  <w:style w:type="paragraph" w:customStyle="1" w:styleId="ListAlpha6">
    <w:name w:val="List Alpha 6"/>
    <w:basedOn w:val="ListAlpha4"/>
    <w:uiPriority w:val="19"/>
    <w:rsid w:val="00D00F4A"/>
    <w:pPr>
      <w:numPr>
        <w:ilvl w:val="5"/>
      </w:numPr>
    </w:pPr>
  </w:style>
  <w:style w:type="paragraph" w:customStyle="1" w:styleId="ListAlpha5">
    <w:name w:val="List Alpha 5"/>
    <w:basedOn w:val="ListAlpha6"/>
    <w:uiPriority w:val="19"/>
    <w:rsid w:val="00D00F4A"/>
    <w:pPr>
      <w:numPr>
        <w:ilvl w:val="4"/>
      </w:numPr>
    </w:pPr>
  </w:style>
  <w:style w:type="paragraph" w:styleId="ListBullet2">
    <w:name w:val="List Bullet 2"/>
    <w:basedOn w:val="ListBullet0"/>
    <w:uiPriority w:val="19"/>
    <w:rsid w:val="00D00F4A"/>
    <w:pPr>
      <w:numPr>
        <w:ilvl w:val="1"/>
      </w:numPr>
    </w:pPr>
  </w:style>
  <w:style w:type="paragraph" w:styleId="ListBullet3">
    <w:name w:val="List Bullet 3"/>
    <w:basedOn w:val="ListBullet0"/>
    <w:uiPriority w:val="19"/>
    <w:rsid w:val="00D00F4A"/>
    <w:pPr>
      <w:numPr>
        <w:ilvl w:val="2"/>
      </w:numPr>
    </w:pPr>
  </w:style>
  <w:style w:type="paragraph" w:styleId="ListBullet4">
    <w:name w:val="List Bullet 4"/>
    <w:basedOn w:val="ListBullet0"/>
    <w:uiPriority w:val="19"/>
    <w:rsid w:val="00D00F4A"/>
    <w:pPr>
      <w:numPr>
        <w:ilvl w:val="3"/>
      </w:numPr>
    </w:pPr>
  </w:style>
  <w:style w:type="paragraph" w:styleId="ListBullet5">
    <w:name w:val="List Bullet 5"/>
    <w:basedOn w:val="ListBullet0"/>
    <w:uiPriority w:val="19"/>
    <w:rsid w:val="00D00F4A"/>
    <w:pPr>
      <w:numPr>
        <w:ilvl w:val="4"/>
      </w:numPr>
    </w:pPr>
  </w:style>
  <w:style w:type="paragraph" w:customStyle="1" w:styleId="ListBullet6">
    <w:name w:val="List Bullet 6"/>
    <w:basedOn w:val="ListBullet0"/>
    <w:uiPriority w:val="19"/>
    <w:rsid w:val="00D00F4A"/>
    <w:pPr>
      <w:numPr>
        <w:ilvl w:val="5"/>
      </w:numPr>
    </w:pPr>
  </w:style>
  <w:style w:type="paragraph" w:styleId="ListNumber2">
    <w:name w:val="List Number 2"/>
    <w:basedOn w:val="ListNumber0"/>
    <w:uiPriority w:val="19"/>
    <w:rsid w:val="00D00F4A"/>
    <w:pPr>
      <w:numPr>
        <w:ilvl w:val="1"/>
      </w:numPr>
    </w:pPr>
  </w:style>
  <w:style w:type="paragraph" w:styleId="ListNumber3">
    <w:name w:val="List Number 3"/>
    <w:basedOn w:val="ListNumber0"/>
    <w:uiPriority w:val="19"/>
    <w:rsid w:val="00D00F4A"/>
    <w:pPr>
      <w:numPr>
        <w:ilvl w:val="2"/>
      </w:numPr>
    </w:pPr>
  </w:style>
  <w:style w:type="paragraph" w:styleId="ListNumber4">
    <w:name w:val="List Number 4"/>
    <w:basedOn w:val="ListNumber0"/>
    <w:uiPriority w:val="19"/>
    <w:rsid w:val="00D00F4A"/>
    <w:pPr>
      <w:numPr>
        <w:ilvl w:val="3"/>
      </w:numPr>
    </w:pPr>
  </w:style>
  <w:style w:type="paragraph" w:styleId="ListNumber5">
    <w:name w:val="List Number 5"/>
    <w:basedOn w:val="ListNumber0"/>
    <w:uiPriority w:val="19"/>
    <w:rsid w:val="00D00F4A"/>
    <w:pPr>
      <w:numPr>
        <w:ilvl w:val="4"/>
      </w:numPr>
    </w:pPr>
  </w:style>
  <w:style w:type="paragraph" w:customStyle="1" w:styleId="ListNumber6">
    <w:name w:val="List Number 6"/>
    <w:basedOn w:val="ListNumber0"/>
    <w:uiPriority w:val="19"/>
    <w:rsid w:val="00D00F4A"/>
    <w:pPr>
      <w:numPr>
        <w:ilvl w:val="5"/>
      </w:numPr>
    </w:pPr>
  </w:style>
  <w:style w:type="paragraph" w:customStyle="1" w:styleId="ListParagraph2">
    <w:name w:val="List Paragraph 2"/>
    <w:basedOn w:val="ListParagraph0"/>
    <w:uiPriority w:val="19"/>
    <w:qFormat/>
    <w:rsid w:val="00D00F4A"/>
    <w:pPr>
      <w:numPr>
        <w:ilvl w:val="1"/>
      </w:numPr>
    </w:pPr>
  </w:style>
  <w:style w:type="paragraph" w:customStyle="1" w:styleId="ListParagraph3">
    <w:name w:val="List Paragraph 3"/>
    <w:basedOn w:val="ListParagraph0"/>
    <w:uiPriority w:val="19"/>
    <w:rsid w:val="00D00F4A"/>
    <w:pPr>
      <w:numPr>
        <w:ilvl w:val="2"/>
      </w:numPr>
    </w:pPr>
  </w:style>
  <w:style w:type="paragraph" w:customStyle="1" w:styleId="ListParagraph4">
    <w:name w:val="List Paragraph 4"/>
    <w:basedOn w:val="ListParagraph0"/>
    <w:uiPriority w:val="19"/>
    <w:rsid w:val="00D00F4A"/>
    <w:pPr>
      <w:numPr>
        <w:ilvl w:val="3"/>
      </w:numPr>
    </w:pPr>
  </w:style>
  <w:style w:type="paragraph" w:customStyle="1" w:styleId="ListParagraph5">
    <w:name w:val="List Paragraph 5"/>
    <w:basedOn w:val="ListParagraph0"/>
    <w:uiPriority w:val="19"/>
    <w:rsid w:val="00D00F4A"/>
    <w:pPr>
      <w:numPr>
        <w:ilvl w:val="4"/>
      </w:numPr>
    </w:pPr>
  </w:style>
  <w:style w:type="paragraph" w:customStyle="1" w:styleId="ListParagraph6">
    <w:name w:val="List Paragraph 6"/>
    <w:basedOn w:val="ListParagraph0"/>
    <w:uiPriority w:val="19"/>
    <w:rsid w:val="00D00F4A"/>
    <w:pPr>
      <w:numPr>
        <w:ilvl w:val="5"/>
      </w:numPr>
    </w:pPr>
  </w:style>
  <w:style w:type="numbering" w:customStyle="1" w:styleId="ListBullet">
    <w:name w:val="List_Bullet"/>
    <w:uiPriority w:val="99"/>
    <w:rsid w:val="00D00F4A"/>
    <w:pPr>
      <w:numPr>
        <w:numId w:val="3"/>
      </w:numPr>
    </w:pPr>
  </w:style>
  <w:style w:type="numbering" w:customStyle="1" w:styleId="ListNumberedHeadings">
    <w:name w:val="List_NumberedHeadings"/>
    <w:uiPriority w:val="99"/>
    <w:rsid w:val="00D00F4A"/>
    <w:pPr>
      <w:numPr>
        <w:numId w:val="6"/>
      </w:numPr>
    </w:pPr>
  </w:style>
  <w:style w:type="numbering" w:customStyle="1" w:styleId="ListTableBullet">
    <w:name w:val="List_TableBullet"/>
    <w:uiPriority w:val="99"/>
    <w:rsid w:val="00D00F4A"/>
    <w:pPr>
      <w:numPr>
        <w:numId w:val="8"/>
      </w:numPr>
    </w:pPr>
  </w:style>
  <w:style w:type="numbering" w:customStyle="1" w:styleId="ListTableNumber">
    <w:name w:val="List_TableNumber"/>
    <w:uiPriority w:val="99"/>
    <w:rsid w:val="00D00F4A"/>
    <w:pPr>
      <w:numPr>
        <w:numId w:val="9"/>
      </w:numPr>
    </w:pPr>
  </w:style>
  <w:style w:type="paragraph" w:customStyle="1" w:styleId="TableBullet2">
    <w:name w:val="Table Bullet 2"/>
    <w:basedOn w:val="TableBullet"/>
    <w:uiPriority w:val="19"/>
    <w:rsid w:val="00D00F4A"/>
    <w:pPr>
      <w:numPr>
        <w:ilvl w:val="1"/>
      </w:numPr>
    </w:pPr>
  </w:style>
  <w:style w:type="paragraph" w:customStyle="1" w:styleId="TableNumber2">
    <w:name w:val="Table Number 2"/>
    <w:basedOn w:val="TableNumber"/>
    <w:uiPriority w:val="19"/>
    <w:rsid w:val="00D00F4A"/>
    <w:pPr>
      <w:numPr>
        <w:ilvl w:val="1"/>
      </w:numPr>
    </w:pPr>
  </w:style>
  <w:style w:type="paragraph" w:customStyle="1" w:styleId="BodyText4">
    <w:name w:val="Body Text 4"/>
    <w:basedOn w:val="BodyText3"/>
    <w:uiPriority w:val="99"/>
    <w:semiHidden/>
    <w:qFormat/>
    <w:rsid w:val="00D00F4A"/>
    <w:pPr>
      <w:numPr>
        <w:ilvl w:val="3"/>
      </w:numPr>
    </w:pPr>
  </w:style>
  <w:style w:type="paragraph" w:customStyle="1" w:styleId="BodyText5">
    <w:name w:val="Body Text 5"/>
    <w:basedOn w:val="BodyText4"/>
    <w:uiPriority w:val="99"/>
    <w:semiHidden/>
    <w:qFormat/>
    <w:rsid w:val="00D00F4A"/>
    <w:pPr>
      <w:numPr>
        <w:ilvl w:val="4"/>
      </w:numPr>
    </w:pPr>
  </w:style>
  <w:style w:type="paragraph" w:customStyle="1" w:styleId="BodyText6">
    <w:name w:val="Body Text 6"/>
    <w:basedOn w:val="BodyText5"/>
    <w:uiPriority w:val="99"/>
    <w:semiHidden/>
    <w:qFormat/>
    <w:rsid w:val="00D00F4A"/>
    <w:pPr>
      <w:numPr>
        <w:ilvl w:val="5"/>
      </w:numPr>
    </w:pPr>
  </w:style>
  <w:style w:type="paragraph" w:customStyle="1" w:styleId="SectionTitle">
    <w:name w:val="Section Title"/>
    <w:uiPriority w:val="13"/>
    <w:qFormat/>
    <w:rsid w:val="002E6048"/>
    <w:pPr>
      <w:pageBreakBefore/>
      <w:spacing w:before="4000" w:after="360"/>
    </w:pPr>
    <w:rPr>
      <w:rFonts w:ascii="Gotham" w:eastAsia="Times New Roman" w:hAnsi="Gotham" w:cs="Arial"/>
      <w:bCs/>
      <w:caps/>
      <w:color w:val="324851"/>
      <w:sz w:val="56"/>
      <w:szCs w:val="32"/>
      <w:lang w:eastAsia="en-AU"/>
    </w:rPr>
  </w:style>
  <w:style w:type="character" w:styleId="PlaceholderText">
    <w:name w:val="Placeholder Text"/>
    <w:basedOn w:val="DefaultParagraphFont"/>
    <w:uiPriority w:val="99"/>
    <w:semiHidden/>
    <w:rsid w:val="00D00F4A"/>
    <w:rPr>
      <w:color w:val="808080"/>
    </w:rPr>
  </w:style>
  <w:style w:type="table" w:customStyle="1" w:styleId="TableNoBorders">
    <w:name w:val="Table No Borders"/>
    <w:basedOn w:val="TableNormal"/>
    <w:uiPriority w:val="99"/>
    <w:rsid w:val="00D00F4A"/>
    <w:pPr>
      <w:spacing w:before="0" w:after="0"/>
    </w:pPr>
    <w:tblPr/>
  </w:style>
  <w:style w:type="paragraph" w:customStyle="1" w:styleId="CoverDetails">
    <w:name w:val="Cover Details"/>
    <w:basedOn w:val="Subtitle"/>
    <w:uiPriority w:val="11"/>
    <w:rsid w:val="00D00F4A"/>
    <w:pPr>
      <w:spacing w:after="240"/>
    </w:pPr>
    <w:rPr>
      <w:caps w:val="0"/>
      <w:color w:val="324851" w:themeColor="accent1"/>
      <w:sz w:val="32"/>
    </w:rPr>
  </w:style>
  <w:style w:type="numbering" w:customStyle="1" w:styleId="ListAppendix">
    <w:name w:val="List_Appendix"/>
    <w:uiPriority w:val="99"/>
    <w:rsid w:val="00D00F4A"/>
    <w:pPr>
      <w:numPr>
        <w:numId w:val="2"/>
      </w:numPr>
    </w:pPr>
  </w:style>
  <w:style w:type="paragraph" w:styleId="FootnoteText">
    <w:name w:val="footnote text"/>
    <w:basedOn w:val="Normal"/>
    <w:link w:val="FootnoteTextChar"/>
    <w:uiPriority w:val="99"/>
    <w:rsid w:val="00D00F4A"/>
    <w:rPr>
      <w:sz w:val="18"/>
      <w:szCs w:val="20"/>
    </w:rPr>
  </w:style>
  <w:style w:type="character" w:customStyle="1" w:styleId="FootnoteTextChar">
    <w:name w:val="Footnote Text Char"/>
    <w:basedOn w:val="DefaultParagraphFont"/>
    <w:link w:val="FootnoteText"/>
    <w:uiPriority w:val="99"/>
    <w:rsid w:val="00D00F4A"/>
    <w:rPr>
      <w:sz w:val="18"/>
      <w:szCs w:val="20"/>
    </w:rPr>
  </w:style>
  <w:style w:type="character" w:styleId="FootnoteReference">
    <w:name w:val="footnote reference"/>
    <w:basedOn w:val="DefaultParagraphFont"/>
    <w:uiPriority w:val="99"/>
    <w:rsid w:val="00D00F4A"/>
    <w:rPr>
      <w:color w:val="auto"/>
      <w:vertAlign w:val="superscript"/>
    </w:rPr>
  </w:style>
  <w:style w:type="paragraph" w:customStyle="1" w:styleId="BodyTextLeft">
    <w:name w:val="Body Text Left"/>
    <w:basedOn w:val="BodyText"/>
    <w:qFormat/>
    <w:rsid w:val="0092253E"/>
  </w:style>
  <w:style w:type="paragraph" w:customStyle="1" w:styleId="ChapterHeading">
    <w:name w:val="Chapter Heading"/>
    <w:basedOn w:val="Normal"/>
    <w:next w:val="Normal"/>
    <w:uiPriority w:val="11"/>
    <w:qFormat/>
    <w:rsid w:val="002E6048"/>
    <w:pPr>
      <w:pageBreakBefore/>
      <w:numPr>
        <w:numId w:val="22"/>
      </w:numPr>
      <w:spacing w:before="6400" w:after="240" w:line="300" w:lineRule="auto"/>
    </w:pPr>
    <w:rPr>
      <w:rFonts w:ascii="Gotham" w:eastAsia="Times New Roman" w:hAnsi="Gotham" w:cs="Arial"/>
      <w:bCs/>
      <w:caps/>
      <w:color w:val="324851"/>
      <w:sz w:val="32"/>
      <w:szCs w:val="32"/>
      <w:lang w:eastAsia="en-AU"/>
    </w:rPr>
  </w:style>
  <w:style w:type="numbering" w:customStyle="1" w:styleId="ListChapter">
    <w:name w:val="List_Chapter"/>
    <w:uiPriority w:val="99"/>
    <w:rsid w:val="00157388"/>
    <w:pPr>
      <w:numPr>
        <w:numId w:val="4"/>
      </w:numPr>
    </w:pPr>
  </w:style>
  <w:style w:type="paragraph" w:customStyle="1" w:styleId="Chaptertext">
    <w:name w:val="Chapter text"/>
    <w:basedOn w:val="BodyText"/>
    <w:uiPriority w:val="11"/>
    <w:qFormat/>
    <w:rsid w:val="00C828D7"/>
    <w:rPr>
      <w:color w:val="414042" w:themeColor="accent2"/>
    </w:rPr>
  </w:style>
  <w:style w:type="character" w:customStyle="1" w:styleId="ChapterSubheading">
    <w:name w:val="Chapter Subheading"/>
    <w:basedOn w:val="DefaultParagraphFont"/>
    <w:uiPriority w:val="11"/>
    <w:qFormat/>
    <w:rsid w:val="002E6048"/>
    <w:rPr>
      <w:rFonts w:ascii="Gotham" w:hAnsi="Gotham"/>
      <w:caps/>
      <w:smallCaps w:val="0"/>
      <w:color w:val="122872"/>
      <w:sz w:val="36"/>
    </w:rPr>
  </w:style>
  <w:style w:type="paragraph" w:customStyle="1" w:styleId="FooterTextCentre">
    <w:name w:val="Footer Text Centre"/>
    <w:basedOn w:val="Normal"/>
    <w:uiPriority w:val="99"/>
    <w:qFormat/>
    <w:rsid w:val="00AF22A1"/>
    <w:pPr>
      <w:jc w:val="center"/>
    </w:pPr>
  </w:style>
  <w:style w:type="character" w:styleId="PageNumber">
    <w:name w:val="page number"/>
    <w:basedOn w:val="DefaultParagraphFont"/>
    <w:uiPriority w:val="99"/>
    <w:semiHidden/>
    <w:unhideWhenUsed/>
    <w:rsid w:val="00406522"/>
  </w:style>
  <w:style w:type="table" w:styleId="LightShading-Accent2">
    <w:name w:val="Light Shading Accent 2"/>
    <w:basedOn w:val="TableNormal"/>
    <w:uiPriority w:val="60"/>
    <w:rsid w:val="00406522"/>
    <w:pPr>
      <w:spacing w:before="0" w:after="0"/>
    </w:pPr>
    <w:rPr>
      <w:rFonts w:eastAsiaTheme="minorEastAsia"/>
      <w:color w:val="303031" w:themeColor="accent2" w:themeShade="BF"/>
      <w:sz w:val="24"/>
      <w:szCs w:val="24"/>
      <w:lang w:val="en-US"/>
    </w:rPr>
    <w:tblPr>
      <w:tblStyleRowBandSize w:val="1"/>
      <w:tblStyleColBandSize w:val="1"/>
      <w:tblBorders>
        <w:top w:val="single" w:sz="8" w:space="0" w:color="414042" w:themeColor="accent2"/>
        <w:bottom w:val="single" w:sz="8" w:space="0" w:color="414042" w:themeColor="accent2"/>
      </w:tblBorders>
    </w:tblPr>
    <w:tblStylePr w:type="firstRow">
      <w:pPr>
        <w:spacing w:before="0" w:after="0" w:line="240" w:lineRule="auto"/>
      </w:pPr>
      <w:rPr>
        <w:b/>
        <w:bCs/>
      </w:rPr>
      <w:tblPr/>
      <w:tcPr>
        <w:tcBorders>
          <w:top w:val="single" w:sz="8" w:space="0" w:color="414042" w:themeColor="accent2"/>
          <w:left w:val="nil"/>
          <w:bottom w:val="single" w:sz="8" w:space="0" w:color="414042" w:themeColor="accent2"/>
          <w:right w:val="nil"/>
          <w:insideH w:val="nil"/>
          <w:insideV w:val="nil"/>
        </w:tcBorders>
      </w:tcPr>
    </w:tblStylePr>
    <w:tblStylePr w:type="lastRow">
      <w:pPr>
        <w:spacing w:before="0" w:after="0" w:line="240" w:lineRule="auto"/>
      </w:pPr>
      <w:rPr>
        <w:b/>
        <w:bCs/>
      </w:rPr>
      <w:tblPr/>
      <w:tcPr>
        <w:tcBorders>
          <w:top w:val="single" w:sz="8" w:space="0" w:color="414042" w:themeColor="accent2"/>
          <w:left w:val="nil"/>
          <w:bottom w:val="single" w:sz="8" w:space="0" w:color="41404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accent2" w:themeFillTint="3F"/>
      </w:tcPr>
    </w:tblStylePr>
    <w:tblStylePr w:type="band1Horz">
      <w:tblPr/>
      <w:tcPr>
        <w:tcBorders>
          <w:left w:val="nil"/>
          <w:right w:val="nil"/>
          <w:insideH w:val="nil"/>
          <w:insideV w:val="nil"/>
        </w:tcBorders>
        <w:shd w:val="clear" w:color="auto" w:fill="CFCFD0" w:themeFill="accent2" w:themeFillTint="3F"/>
      </w:tcPr>
    </w:tblStylePr>
  </w:style>
  <w:style w:type="table" w:styleId="LightList-Accent6">
    <w:name w:val="Light List Accent 6"/>
    <w:basedOn w:val="TableNormal"/>
    <w:uiPriority w:val="61"/>
    <w:rsid w:val="00406522"/>
    <w:pPr>
      <w:spacing w:before="0" w:after="0"/>
    </w:pPr>
    <w:rPr>
      <w:rFonts w:eastAsiaTheme="minorEastAsia"/>
      <w:sz w:val="24"/>
      <w:szCs w:val="24"/>
      <w:lang w:val="en-US"/>
    </w:rPr>
    <w:tblPr>
      <w:tblStyleRowBandSize w:val="1"/>
      <w:tblStyleColBandSize w:val="1"/>
      <w:tblBorders>
        <w:top w:val="single" w:sz="8" w:space="0" w:color="D5D6D8" w:themeColor="accent6"/>
        <w:left w:val="single" w:sz="8" w:space="0" w:color="D5D6D8" w:themeColor="accent6"/>
        <w:bottom w:val="single" w:sz="8" w:space="0" w:color="D5D6D8" w:themeColor="accent6"/>
        <w:right w:val="single" w:sz="8" w:space="0" w:color="D5D6D8" w:themeColor="accent6"/>
      </w:tblBorders>
    </w:tblPr>
    <w:tblStylePr w:type="firstRow">
      <w:pPr>
        <w:spacing w:before="0" w:after="0" w:line="240" w:lineRule="auto"/>
      </w:pPr>
      <w:rPr>
        <w:b/>
        <w:bCs/>
        <w:color w:val="FFFFFF" w:themeColor="background1"/>
      </w:rPr>
      <w:tblPr/>
      <w:tcPr>
        <w:shd w:val="clear" w:color="auto" w:fill="D5D6D8" w:themeFill="accent6"/>
      </w:tcPr>
    </w:tblStylePr>
    <w:tblStylePr w:type="lastRow">
      <w:pPr>
        <w:spacing w:before="0" w:after="0" w:line="240" w:lineRule="auto"/>
      </w:pPr>
      <w:rPr>
        <w:b/>
        <w:bCs/>
      </w:rPr>
      <w:tblPr/>
      <w:tcPr>
        <w:tcBorders>
          <w:top w:val="double" w:sz="6" w:space="0" w:color="D5D6D8" w:themeColor="accent6"/>
          <w:left w:val="single" w:sz="8" w:space="0" w:color="D5D6D8" w:themeColor="accent6"/>
          <w:bottom w:val="single" w:sz="8" w:space="0" w:color="D5D6D8" w:themeColor="accent6"/>
          <w:right w:val="single" w:sz="8" w:space="0" w:color="D5D6D8" w:themeColor="accent6"/>
        </w:tcBorders>
      </w:tcPr>
    </w:tblStylePr>
    <w:tblStylePr w:type="firstCol">
      <w:rPr>
        <w:b/>
        <w:bCs/>
      </w:rPr>
    </w:tblStylePr>
    <w:tblStylePr w:type="lastCol">
      <w:rPr>
        <w:b/>
        <w:bCs/>
      </w:rPr>
    </w:tblStylePr>
    <w:tblStylePr w:type="band1Vert">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tblStylePr w:type="band1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style>
  <w:style w:type="table" w:styleId="LightGrid-Accent6">
    <w:name w:val="Light Grid Accent 6"/>
    <w:basedOn w:val="TableNormal"/>
    <w:uiPriority w:val="62"/>
    <w:rsid w:val="00406522"/>
    <w:pPr>
      <w:spacing w:before="0" w:after="0"/>
    </w:pPr>
    <w:rPr>
      <w:rFonts w:eastAsiaTheme="minorEastAsia"/>
      <w:sz w:val="24"/>
      <w:szCs w:val="24"/>
      <w:lang w:val="en-US"/>
    </w:rPr>
    <w:tblPr>
      <w:tblStyleRowBandSize w:val="1"/>
      <w:tblStyleColBandSize w:val="1"/>
      <w:tblBorders>
        <w:top w:val="single" w:sz="8" w:space="0" w:color="D5D6D8" w:themeColor="accent6"/>
        <w:left w:val="single" w:sz="8" w:space="0" w:color="D5D6D8" w:themeColor="accent6"/>
        <w:bottom w:val="single" w:sz="8" w:space="0" w:color="D5D6D8" w:themeColor="accent6"/>
        <w:right w:val="single" w:sz="8" w:space="0" w:color="D5D6D8" w:themeColor="accent6"/>
        <w:insideH w:val="single" w:sz="8" w:space="0" w:color="D5D6D8" w:themeColor="accent6"/>
        <w:insideV w:val="single" w:sz="8" w:space="0" w:color="D5D6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8" w:themeColor="accent6"/>
          <w:left w:val="single" w:sz="8" w:space="0" w:color="D5D6D8" w:themeColor="accent6"/>
          <w:bottom w:val="single" w:sz="18" w:space="0" w:color="D5D6D8" w:themeColor="accent6"/>
          <w:right w:val="single" w:sz="8" w:space="0" w:color="D5D6D8" w:themeColor="accent6"/>
          <w:insideH w:val="nil"/>
          <w:insideV w:val="single" w:sz="8" w:space="0" w:color="D5D6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8" w:themeColor="accent6"/>
          <w:left w:val="single" w:sz="8" w:space="0" w:color="D5D6D8" w:themeColor="accent6"/>
          <w:bottom w:val="single" w:sz="8" w:space="0" w:color="D5D6D8" w:themeColor="accent6"/>
          <w:right w:val="single" w:sz="8" w:space="0" w:color="D5D6D8" w:themeColor="accent6"/>
          <w:insideH w:val="nil"/>
          <w:insideV w:val="single" w:sz="8" w:space="0" w:color="D5D6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tblStylePr w:type="band1Vert">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shd w:val="clear" w:color="auto" w:fill="F4F4F5" w:themeFill="accent6" w:themeFillTint="3F"/>
      </w:tcPr>
    </w:tblStylePr>
    <w:tblStylePr w:type="band1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insideV w:val="single" w:sz="8" w:space="0" w:color="D5D6D8" w:themeColor="accent6"/>
        </w:tcBorders>
        <w:shd w:val="clear" w:color="auto" w:fill="F4F4F5" w:themeFill="accent6" w:themeFillTint="3F"/>
      </w:tcPr>
    </w:tblStylePr>
    <w:tblStylePr w:type="band2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insideV w:val="single" w:sz="8" w:space="0" w:color="D5D6D8" w:themeColor="accent6"/>
        </w:tcBorders>
      </w:tcPr>
    </w:tblStylePr>
  </w:style>
  <w:style w:type="table" w:styleId="MediumShading2-Accent6">
    <w:name w:val="Medium Shading 2 Accent 6"/>
    <w:basedOn w:val="TableNormal"/>
    <w:uiPriority w:val="64"/>
    <w:rsid w:val="00406522"/>
    <w:pPr>
      <w:spacing w:before="0" w:after="0"/>
    </w:pPr>
    <w:rPr>
      <w:rFonts w:eastAsiaTheme="minorEastAsia"/>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6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6D8" w:themeFill="accent6"/>
      </w:tcPr>
    </w:tblStylePr>
    <w:tblStylePr w:type="lastCol">
      <w:rPr>
        <w:b/>
        <w:bCs/>
        <w:color w:val="FFFFFF" w:themeColor="background1"/>
      </w:rPr>
      <w:tblPr/>
      <w:tcPr>
        <w:tcBorders>
          <w:left w:val="nil"/>
          <w:right w:val="nil"/>
          <w:insideH w:val="nil"/>
          <w:insideV w:val="nil"/>
        </w:tcBorders>
        <w:shd w:val="clear" w:color="auto" w:fill="D5D6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406522"/>
    <w:pPr>
      <w:spacing w:before="0" w:after="0"/>
    </w:pPr>
    <w:rPr>
      <w:rFonts w:eastAsiaTheme="minorEastAsia"/>
      <w:color w:val="FFFFFF" w:themeColor="background1"/>
      <w:sz w:val="24"/>
      <w:szCs w:val="24"/>
      <w:lang w:val="en-US"/>
    </w:rPr>
    <w:tblPr>
      <w:tblStyleRowBandSize w:val="1"/>
      <w:tblStyleColBandSize w:val="1"/>
    </w:tblPr>
    <w:tcPr>
      <w:shd w:val="clear" w:color="auto" w:fill="D5D6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69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D9FA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D9FA4" w:themeFill="accent6" w:themeFillShade="BF"/>
      </w:tcPr>
    </w:tblStylePr>
    <w:tblStylePr w:type="band1Vert">
      <w:tblPr/>
      <w:tcPr>
        <w:tcBorders>
          <w:top w:val="nil"/>
          <w:left w:val="nil"/>
          <w:bottom w:val="nil"/>
          <w:right w:val="nil"/>
          <w:insideH w:val="nil"/>
          <w:insideV w:val="nil"/>
        </w:tcBorders>
        <w:shd w:val="clear" w:color="auto" w:fill="9D9FA4" w:themeFill="accent6" w:themeFillShade="BF"/>
      </w:tcPr>
    </w:tblStylePr>
    <w:tblStylePr w:type="band1Horz">
      <w:tblPr/>
      <w:tcPr>
        <w:tcBorders>
          <w:top w:val="nil"/>
          <w:left w:val="nil"/>
          <w:bottom w:val="nil"/>
          <w:right w:val="nil"/>
          <w:insideH w:val="nil"/>
          <w:insideV w:val="nil"/>
        </w:tcBorders>
        <w:shd w:val="clear" w:color="auto" w:fill="9D9FA4" w:themeFill="accent6" w:themeFillShade="BF"/>
      </w:tcPr>
    </w:tblStylePr>
  </w:style>
  <w:style w:type="paragraph" w:customStyle="1" w:styleId="BQSectionHeading">
    <w:name w:val="BQ Section Heading"/>
    <w:next w:val="BQHeading3"/>
    <w:link w:val="BQSectionHeadingChar"/>
    <w:rsid w:val="00406522"/>
    <w:pPr>
      <w:spacing w:before="360" w:after="360"/>
    </w:pPr>
    <w:rPr>
      <w:rFonts w:ascii="Klavika Light" w:eastAsiaTheme="minorEastAsia" w:hAnsi="Klavika Light"/>
      <w:color w:val="413642"/>
      <w:sz w:val="56"/>
      <w:szCs w:val="56"/>
      <w:lang w:val="en-US"/>
    </w:rPr>
  </w:style>
  <w:style w:type="paragraph" w:customStyle="1" w:styleId="BQHeading3">
    <w:name w:val="BQ Heading3"/>
    <w:next w:val="BQTableCopy"/>
    <w:link w:val="BQHeading3Char"/>
    <w:rsid w:val="00406522"/>
    <w:pPr>
      <w:keepNext/>
      <w:numPr>
        <w:ilvl w:val="2"/>
        <w:numId w:val="18"/>
      </w:numPr>
      <w:spacing w:before="120" w:after="120"/>
      <w:outlineLvl w:val="2"/>
    </w:pPr>
    <w:rPr>
      <w:rFonts w:ascii="Calibri Light" w:eastAsiaTheme="minorEastAsia" w:hAnsi="Calibri Light"/>
      <w:color w:val="324851" w:themeColor="accent1"/>
      <w:sz w:val="24"/>
      <w:szCs w:val="28"/>
      <w:lang w:val="en-US"/>
    </w:rPr>
  </w:style>
  <w:style w:type="paragraph" w:customStyle="1" w:styleId="BQTableCopy">
    <w:name w:val="BQ Table Copy"/>
    <w:link w:val="BQTableCopyChar"/>
    <w:rsid w:val="00406522"/>
    <w:pPr>
      <w:spacing w:before="120" w:after="120"/>
    </w:pPr>
    <w:rPr>
      <w:rFonts w:ascii="Calibri Light" w:eastAsiaTheme="minorEastAsia" w:hAnsi="Calibri Light"/>
      <w:color w:val="413642"/>
      <w:sz w:val="20"/>
      <w:szCs w:val="24"/>
      <w:lang w:val="en-US"/>
    </w:rPr>
  </w:style>
  <w:style w:type="paragraph" w:customStyle="1" w:styleId="BQReportCoverTitle">
    <w:name w:val="BQ_Report Cover_Title"/>
    <w:basedOn w:val="Normal"/>
    <w:link w:val="BQReportCoverTitleChar"/>
    <w:rsid w:val="00406522"/>
    <w:pPr>
      <w:spacing w:after="240"/>
    </w:pPr>
    <w:rPr>
      <w:rFonts w:ascii="Klavika Light" w:eastAsiaTheme="minorEastAsia" w:hAnsi="Klavika Light"/>
      <w:caps/>
      <w:color w:val="FFFFFF" w:themeColor="background1"/>
      <w:sz w:val="56"/>
      <w:szCs w:val="96"/>
    </w:rPr>
  </w:style>
  <w:style w:type="paragraph" w:customStyle="1" w:styleId="BQReportCoverSubtitle">
    <w:name w:val="BQ_Report Cover_Subtitle"/>
    <w:basedOn w:val="BQReportCoverTitle"/>
    <w:link w:val="BQReportCoverSubtitleChar"/>
    <w:rsid w:val="00406522"/>
    <w:pPr>
      <w:spacing w:after="840"/>
      <w:ind w:right="4814"/>
    </w:pPr>
    <w:rPr>
      <w:rFonts w:ascii="Calibri Light" w:hAnsi="Calibri Light"/>
      <w:sz w:val="40"/>
      <w:szCs w:val="56"/>
    </w:rPr>
  </w:style>
  <w:style w:type="character" w:customStyle="1" w:styleId="BQReportCoverTitleChar">
    <w:name w:val="BQ_Report Cover_Title Char"/>
    <w:basedOn w:val="DefaultParagraphFont"/>
    <w:link w:val="BQReportCoverTitle"/>
    <w:rsid w:val="00406522"/>
    <w:rPr>
      <w:rFonts w:ascii="Klavika Light" w:eastAsiaTheme="minorEastAsia" w:hAnsi="Klavika Light"/>
      <w:caps/>
      <w:color w:val="FFFFFF" w:themeColor="background1"/>
      <w:sz w:val="56"/>
      <w:szCs w:val="96"/>
    </w:rPr>
  </w:style>
  <w:style w:type="paragraph" w:customStyle="1" w:styleId="BQReportCoverDate">
    <w:name w:val="BQ_Report Cover_Date"/>
    <w:basedOn w:val="Normal"/>
    <w:link w:val="BQReportCoverDateChar"/>
    <w:rsid w:val="00406522"/>
    <w:pPr>
      <w:spacing w:after="240"/>
      <w:ind w:right="4954"/>
    </w:pPr>
    <w:rPr>
      <w:rFonts w:ascii="Calibri Light" w:eastAsiaTheme="minorEastAsia" w:hAnsi="Calibri Light"/>
      <w:b/>
      <w:noProof/>
      <w:color w:val="324851" w:themeColor="accent1"/>
      <w:sz w:val="40"/>
      <w:szCs w:val="40"/>
      <w:lang w:eastAsia="en-AU"/>
    </w:rPr>
  </w:style>
  <w:style w:type="character" w:customStyle="1" w:styleId="BQReportCoverSubtitleChar">
    <w:name w:val="BQ_Report Cover_Subtitle Char"/>
    <w:basedOn w:val="BQReportCoverTitleChar"/>
    <w:link w:val="BQReportCoverSubtitle"/>
    <w:rsid w:val="00406522"/>
    <w:rPr>
      <w:rFonts w:ascii="Calibri Light" w:eastAsiaTheme="minorEastAsia" w:hAnsi="Calibri Light"/>
      <w:caps/>
      <w:color w:val="FFFFFF" w:themeColor="background1"/>
      <w:sz w:val="40"/>
      <w:szCs w:val="56"/>
    </w:rPr>
  </w:style>
  <w:style w:type="paragraph" w:customStyle="1" w:styleId="BQHeading1">
    <w:name w:val="BQ_Heading 1"/>
    <w:basedOn w:val="BQSectionHeading"/>
    <w:link w:val="BQHeading1Char"/>
    <w:rsid w:val="00406522"/>
    <w:pPr>
      <w:numPr>
        <w:numId w:val="18"/>
      </w:numPr>
      <w:spacing w:after="0"/>
    </w:pPr>
    <w:rPr>
      <w:rFonts w:ascii="Calibri Light" w:hAnsi="Calibri Light"/>
      <w:caps/>
      <w:sz w:val="32"/>
    </w:rPr>
  </w:style>
  <w:style w:type="character" w:customStyle="1" w:styleId="BQReportCoverDateChar">
    <w:name w:val="BQ_Report Cover_Date Char"/>
    <w:basedOn w:val="DefaultParagraphFont"/>
    <w:link w:val="BQReportCoverDate"/>
    <w:rsid w:val="00406522"/>
    <w:rPr>
      <w:rFonts w:ascii="Calibri Light" w:eastAsiaTheme="minorEastAsia" w:hAnsi="Calibri Light"/>
      <w:b/>
      <w:noProof/>
      <w:color w:val="324851" w:themeColor="accent1"/>
      <w:sz w:val="40"/>
      <w:szCs w:val="40"/>
      <w:lang w:eastAsia="en-AU"/>
    </w:rPr>
  </w:style>
  <w:style w:type="paragraph" w:customStyle="1" w:styleId="BQHeading2">
    <w:name w:val="BQ_Heading 2"/>
    <w:basedOn w:val="BQHeading3"/>
    <w:link w:val="BQHeading2Char"/>
    <w:rsid w:val="00406522"/>
    <w:pPr>
      <w:numPr>
        <w:ilvl w:val="1"/>
      </w:numPr>
      <w:spacing w:before="160"/>
      <w:ind w:left="851"/>
      <w:outlineLvl w:val="1"/>
    </w:pPr>
    <w:rPr>
      <w:sz w:val="28"/>
    </w:rPr>
  </w:style>
  <w:style w:type="character" w:customStyle="1" w:styleId="BQSectionHeadingChar">
    <w:name w:val="BQ Section Heading Char"/>
    <w:basedOn w:val="DefaultParagraphFont"/>
    <w:link w:val="BQSectionHeading"/>
    <w:rsid w:val="00406522"/>
    <w:rPr>
      <w:rFonts w:ascii="Klavika Light" w:eastAsiaTheme="minorEastAsia" w:hAnsi="Klavika Light"/>
      <w:color w:val="413642"/>
      <w:sz w:val="56"/>
      <w:szCs w:val="56"/>
      <w:lang w:val="en-US"/>
    </w:rPr>
  </w:style>
  <w:style w:type="character" w:customStyle="1" w:styleId="BQHeading1Char">
    <w:name w:val="BQ_Heading 1 Char"/>
    <w:basedOn w:val="BQSectionHeadingChar"/>
    <w:link w:val="BQHeading1"/>
    <w:rsid w:val="00406522"/>
    <w:rPr>
      <w:rFonts w:ascii="Calibri Light" w:eastAsiaTheme="minorEastAsia" w:hAnsi="Calibri Light"/>
      <w:caps/>
      <w:color w:val="413642"/>
      <w:sz w:val="32"/>
      <w:szCs w:val="56"/>
      <w:lang w:val="en-US"/>
    </w:rPr>
  </w:style>
  <w:style w:type="paragraph" w:customStyle="1" w:styleId="BQBody">
    <w:name w:val="BQ_Body"/>
    <w:basedOn w:val="BQTableCopy"/>
    <w:link w:val="BQBodyChar"/>
    <w:rsid w:val="00406522"/>
  </w:style>
  <w:style w:type="character" w:customStyle="1" w:styleId="BQHeading3Char">
    <w:name w:val="BQ Heading3 Char"/>
    <w:basedOn w:val="DefaultParagraphFont"/>
    <w:link w:val="BQHeading3"/>
    <w:rsid w:val="00406522"/>
    <w:rPr>
      <w:rFonts w:ascii="Calibri Light" w:eastAsiaTheme="minorEastAsia" w:hAnsi="Calibri Light"/>
      <w:color w:val="324851" w:themeColor="accent1"/>
      <w:sz w:val="24"/>
      <w:szCs w:val="28"/>
      <w:lang w:val="en-US"/>
    </w:rPr>
  </w:style>
  <w:style w:type="character" w:customStyle="1" w:styleId="BQHeading2Char">
    <w:name w:val="BQ_Heading 2 Char"/>
    <w:basedOn w:val="BQHeading3Char"/>
    <w:link w:val="BQHeading2"/>
    <w:rsid w:val="00406522"/>
    <w:rPr>
      <w:rFonts w:ascii="Calibri Light" w:eastAsiaTheme="minorEastAsia" w:hAnsi="Calibri Light"/>
      <w:color w:val="324851" w:themeColor="accent1"/>
      <w:sz w:val="28"/>
      <w:szCs w:val="28"/>
      <w:lang w:val="en-US"/>
    </w:rPr>
  </w:style>
  <w:style w:type="paragraph" w:customStyle="1" w:styleId="BQTableHeading1">
    <w:name w:val="BQ_Table Heading 1"/>
    <w:basedOn w:val="BQBody"/>
    <w:link w:val="BQTableHeading1Char"/>
    <w:rsid w:val="00406522"/>
    <w:pPr>
      <w:spacing w:before="40" w:after="40"/>
    </w:pPr>
    <w:rPr>
      <w:b/>
      <w:bCs/>
      <w:caps/>
      <w:color w:val="FFFFFF" w:themeColor="background1"/>
      <w:sz w:val="21"/>
      <w:szCs w:val="20"/>
    </w:rPr>
  </w:style>
  <w:style w:type="character" w:customStyle="1" w:styleId="BQTableCopyChar">
    <w:name w:val="BQ Table Copy Char"/>
    <w:basedOn w:val="DefaultParagraphFont"/>
    <w:link w:val="BQTableCopy"/>
    <w:rsid w:val="00406522"/>
    <w:rPr>
      <w:rFonts w:ascii="Calibri Light" w:eastAsiaTheme="minorEastAsia" w:hAnsi="Calibri Light"/>
      <w:color w:val="413642"/>
      <w:sz w:val="20"/>
      <w:szCs w:val="24"/>
      <w:lang w:val="en-US"/>
    </w:rPr>
  </w:style>
  <w:style w:type="character" w:customStyle="1" w:styleId="BQBodyChar">
    <w:name w:val="BQ_Body Char"/>
    <w:basedOn w:val="BQTableCopyChar"/>
    <w:link w:val="BQBody"/>
    <w:rsid w:val="00406522"/>
    <w:rPr>
      <w:rFonts w:ascii="Calibri Light" w:eastAsiaTheme="minorEastAsia" w:hAnsi="Calibri Light"/>
      <w:color w:val="413642"/>
      <w:sz w:val="20"/>
      <w:szCs w:val="24"/>
      <w:lang w:val="en-US"/>
    </w:rPr>
  </w:style>
  <w:style w:type="paragraph" w:customStyle="1" w:styleId="BQTableHeading2">
    <w:name w:val="BQ_Table Heading 2"/>
    <w:basedOn w:val="Normal"/>
    <w:link w:val="BQTableHeading2Char"/>
    <w:rsid w:val="00406522"/>
    <w:pPr>
      <w:spacing w:before="20" w:after="20"/>
    </w:pPr>
    <w:rPr>
      <w:rFonts w:ascii="Calibri Light" w:eastAsiaTheme="minorEastAsia" w:hAnsi="Calibri Light"/>
      <w:szCs w:val="24"/>
    </w:rPr>
  </w:style>
  <w:style w:type="character" w:customStyle="1" w:styleId="BQTableHeading1Char">
    <w:name w:val="BQ_Table Heading 1 Char"/>
    <w:basedOn w:val="BQBodyChar"/>
    <w:link w:val="BQTableHeading1"/>
    <w:rsid w:val="00406522"/>
    <w:rPr>
      <w:rFonts w:ascii="Calibri Light" w:eastAsiaTheme="minorEastAsia" w:hAnsi="Calibri Light"/>
      <w:b/>
      <w:bCs/>
      <w:caps/>
      <w:color w:val="FFFFFF" w:themeColor="background1"/>
      <w:sz w:val="21"/>
      <w:szCs w:val="20"/>
      <w:lang w:val="en-US"/>
    </w:rPr>
  </w:style>
  <w:style w:type="paragraph" w:customStyle="1" w:styleId="BQBullet">
    <w:name w:val="BQ_Bullet"/>
    <w:basedOn w:val="BQTableCopy"/>
    <w:link w:val="BQBulletChar"/>
    <w:rsid w:val="00406522"/>
    <w:pPr>
      <w:numPr>
        <w:numId w:val="12"/>
      </w:numPr>
    </w:pPr>
  </w:style>
  <w:style w:type="character" w:customStyle="1" w:styleId="BQTableHeading2Char">
    <w:name w:val="BQ_Table Heading 2 Char"/>
    <w:basedOn w:val="DefaultParagraphFont"/>
    <w:link w:val="BQTableHeading2"/>
    <w:rsid w:val="00406522"/>
    <w:rPr>
      <w:rFonts w:ascii="Calibri Light" w:eastAsiaTheme="minorEastAsia" w:hAnsi="Calibri Light"/>
      <w:sz w:val="20"/>
      <w:szCs w:val="24"/>
    </w:rPr>
  </w:style>
  <w:style w:type="paragraph" w:customStyle="1" w:styleId="BQGraphHeading">
    <w:name w:val="BQ_Graph Heading"/>
    <w:basedOn w:val="BQTableCopy"/>
    <w:link w:val="BQGraphHeadingChar"/>
    <w:rsid w:val="00406522"/>
    <w:pPr>
      <w:spacing w:before="0" w:after="0"/>
    </w:pPr>
    <w:rPr>
      <w:color w:val="DE7C00"/>
      <w:szCs w:val="20"/>
    </w:rPr>
  </w:style>
  <w:style w:type="character" w:customStyle="1" w:styleId="BQBulletChar">
    <w:name w:val="BQ_Bullet Char"/>
    <w:basedOn w:val="BQTableCopyChar"/>
    <w:link w:val="BQBullet"/>
    <w:rsid w:val="00406522"/>
    <w:rPr>
      <w:rFonts w:ascii="Calibri Light" w:eastAsiaTheme="minorEastAsia" w:hAnsi="Calibri Light"/>
      <w:color w:val="413642"/>
      <w:sz w:val="20"/>
      <w:szCs w:val="24"/>
      <w:lang w:val="en-US"/>
    </w:rPr>
  </w:style>
  <w:style w:type="character" w:customStyle="1" w:styleId="BQGraphHeadingChar">
    <w:name w:val="BQ_Graph Heading Char"/>
    <w:basedOn w:val="BQTableCopyChar"/>
    <w:link w:val="BQGraphHeading"/>
    <w:rsid w:val="00406522"/>
    <w:rPr>
      <w:rFonts w:ascii="Calibri Light" w:eastAsiaTheme="minorEastAsia" w:hAnsi="Calibri Light"/>
      <w:color w:val="DE7C00"/>
      <w:sz w:val="20"/>
      <w:szCs w:val="20"/>
      <w:lang w:val="en-US"/>
    </w:rPr>
  </w:style>
  <w:style w:type="character" w:styleId="HTMLCite">
    <w:name w:val="HTML Cite"/>
    <w:basedOn w:val="DefaultParagraphFont"/>
    <w:uiPriority w:val="99"/>
    <w:semiHidden/>
    <w:rsid w:val="00406522"/>
    <w:rPr>
      <w:i/>
      <w:iCs/>
    </w:rPr>
  </w:style>
  <w:style w:type="paragraph" w:customStyle="1" w:styleId="TOCTitle">
    <w:name w:val="TOC Title"/>
    <w:link w:val="TOCTitleChar"/>
    <w:qFormat/>
    <w:rsid w:val="00406522"/>
    <w:pPr>
      <w:spacing w:before="120" w:after="240"/>
    </w:pPr>
    <w:rPr>
      <w:rFonts w:ascii="Calibri Light" w:eastAsiaTheme="minorEastAsia" w:hAnsi="Calibri Light"/>
      <w:caps/>
      <w:noProof/>
      <w:color w:val="413642"/>
      <w:sz w:val="32"/>
      <w:szCs w:val="56"/>
      <w:lang w:val="en-US" w:eastAsia="en-AU"/>
    </w:rPr>
  </w:style>
  <w:style w:type="character" w:customStyle="1" w:styleId="TOCTitleChar">
    <w:name w:val="TOC Title Char"/>
    <w:basedOn w:val="BQHeading1Char"/>
    <w:link w:val="TOCTitle"/>
    <w:rsid w:val="00406522"/>
    <w:rPr>
      <w:rFonts w:ascii="Calibri Light" w:eastAsiaTheme="minorEastAsia" w:hAnsi="Calibri Light"/>
      <w:caps/>
      <w:noProof/>
      <w:color w:val="413642"/>
      <w:sz w:val="32"/>
      <w:szCs w:val="56"/>
      <w:lang w:val="en-US" w:eastAsia="en-AU"/>
    </w:rPr>
  </w:style>
  <w:style w:type="paragraph" w:customStyle="1" w:styleId="PageNumber1">
    <w:name w:val="Page Number1"/>
    <w:basedOn w:val="Footer"/>
    <w:rsid w:val="00406522"/>
    <w:pPr>
      <w:framePr w:w="498" w:wrap="around" w:vAnchor="text" w:hAnchor="page" w:x="1135" w:y="39"/>
      <w:pBdr>
        <w:top w:val="none" w:sz="0" w:space="0" w:color="auto"/>
      </w:pBdr>
      <w:tabs>
        <w:tab w:val="clear" w:pos="9639"/>
        <w:tab w:val="center" w:pos="4320"/>
        <w:tab w:val="right" w:pos="8640"/>
      </w:tabs>
    </w:pPr>
    <w:rPr>
      <w:rFonts w:ascii="Calibri Light" w:eastAsiaTheme="minorEastAsia" w:hAnsi="Calibri Light"/>
      <w:caps w:val="0"/>
      <w:noProof w:val="0"/>
      <w:color w:val="434343"/>
      <w:sz w:val="18"/>
      <w:szCs w:val="18"/>
      <w:lang w:eastAsia="en-US"/>
    </w:rPr>
  </w:style>
  <w:style w:type="paragraph" w:customStyle="1" w:styleId="BQTableHeading1option2">
    <w:name w:val="BQ_Table Heading 1_option 2"/>
    <w:basedOn w:val="BodyText"/>
    <w:next w:val="BodyText"/>
    <w:rsid w:val="00406522"/>
    <w:pPr>
      <w:jc w:val="center"/>
    </w:pPr>
    <w:rPr>
      <w:rFonts w:ascii="Calibri Light" w:hAnsi="Calibri Light"/>
      <w:b/>
      <w:color w:val="434343"/>
      <w:szCs w:val="20"/>
    </w:rPr>
  </w:style>
  <w:style w:type="paragraph" w:customStyle="1" w:styleId="BQBodyCopy">
    <w:name w:val="BQ Body Copy"/>
    <w:link w:val="BQBodyCopyChar"/>
    <w:rsid w:val="00406522"/>
    <w:pPr>
      <w:spacing w:before="120" w:after="120"/>
    </w:pPr>
    <w:rPr>
      <w:rFonts w:ascii="Calibri Light" w:eastAsiaTheme="minorEastAsia" w:hAnsi="Calibri Light"/>
      <w:color w:val="413642"/>
      <w:sz w:val="20"/>
      <w:szCs w:val="24"/>
      <w:lang w:val="en-US"/>
    </w:rPr>
  </w:style>
  <w:style w:type="character" w:customStyle="1" w:styleId="BQBodyCopyChar">
    <w:name w:val="BQ Body Copy Char"/>
    <w:basedOn w:val="DefaultParagraphFont"/>
    <w:link w:val="BQBodyCopy"/>
    <w:rsid w:val="00406522"/>
    <w:rPr>
      <w:rFonts w:ascii="Calibri Light" w:eastAsiaTheme="minorEastAsia" w:hAnsi="Calibri Light"/>
      <w:color w:val="413642"/>
      <w:sz w:val="20"/>
      <w:szCs w:val="24"/>
      <w:lang w:val="en-US"/>
    </w:rPr>
  </w:style>
  <w:style w:type="paragraph" w:customStyle="1" w:styleId="Default">
    <w:name w:val="Default"/>
    <w:rsid w:val="00406522"/>
    <w:pPr>
      <w:autoSpaceDE w:val="0"/>
      <w:autoSpaceDN w:val="0"/>
      <w:adjustRightInd w:val="0"/>
      <w:spacing w:before="0" w:after="0"/>
    </w:pPr>
    <w:rPr>
      <w:rFonts w:ascii="Arial" w:hAnsi="Arial" w:cs="Arial"/>
      <w:color w:val="000000"/>
      <w:sz w:val="24"/>
      <w:szCs w:val="24"/>
    </w:rPr>
  </w:style>
  <w:style w:type="paragraph" w:customStyle="1" w:styleId="AComment">
    <w:name w:val="A_Comment"/>
    <w:basedOn w:val="BQBodyCopy"/>
    <w:link w:val="ACommentChar"/>
    <w:rsid w:val="00406522"/>
    <w:rPr>
      <w:color w:val="414042" w:themeColor="text2"/>
    </w:rPr>
  </w:style>
  <w:style w:type="paragraph" w:customStyle="1" w:styleId="ABullet">
    <w:name w:val="A_Bullet"/>
    <w:basedOn w:val="BQBullet"/>
    <w:link w:val="ABulletChar"/>
    <w:rsid w:val="00406522"/>
    <w:pPr>
      <w:numPr>
        <w:numId w:val="14"/>
      </w:numPr>
    </w:pPr>
  </w:style>
  <w:style w:type="character" w:customStyle="1" w:styleId="ACommentChar">
    <w:name w:val="A_Comment Char"/>
    <w:basedOn w:val="BQBodyCopyChar"/>
    <w:link w:val="AComment"/>
    <w:rsid w:val="00406522"/>
    <w:rPr>
      <w:rFonts w:ascii="Calibri Light" w:eastAsiaTheme="minorEastAsia" w:hAnsi="Calibri Light"/>
      <w:color w:val="414042" w:themeColor="text2"/>
      <w:sz w:val="20"/>
      <w:szCs w:val="24"/>
      <w:lang w:val="en-US"/>
    </w:rPr>
  </w:style>
  <w:style w:type="character" w:customStyle="1" w:styleId="ABulletChar">
    <w:name w:val="A_Bullet Char"/>
    <w:basedOn w:val="BQBulletChar"/>
    <w:link w:val="ABullet"/>
    <w:rsid w:val="00406522"/>
    <w:rPr>
      <w:rFonts w:ascii="Calibri Light" w:eastAsiaTheme="minorEastAsia" w:hAnsi="Calibri Light"/>
      <w:color w:val="413642"/>
      <w:sz w:val="20"/>
      <w:szCs w:val="24"/>
      <w:lang w:val="en-US"/>
    </w:rPr>
  </w:style>
  <w:style w:type="paragraph" w:styleId="NormalWeb">
    <w:name w:val="Normal (Web)"/>
    <w:basedOn w:val="Normal"/>
    <w:uiPriority w:val="99"/>
    <w:unhideWhenUsed/>
    <w:rsid w:val="0040652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Bullett">
    <w:name w:val="Body Bullett"/>
    <w:basedOn w:val="Normal"/>
    <w:rsid w:val="00406522"/>
    <w:pPr>
      <w:numPr>
        <w:ilvl w:val="1"/>
        <w:numId w:val="15"/>
      </w:numPr>
      <w:spacing w:before="40"/>
    </w:pPr>
    <w:rPr>
      <w:rFonts w:ascii="Verdana" w:eastAsia="Arial Unicode MS" w:hAnsi="Verdana" w:cs="Times New Roman"/>
      <w:szCs w:val="20"/>
    </w:rPr>
  </w:style>
  <w:style w:type="paragraph" w:customStyle="1" w:styleId="CommentaryDTFBullet">
    <w:name w:val="Commentary DTF Bullet"/>
    <w:basedOn w:val="BodyBullett"/>
    <w:rsid w:val="00406522"/>
    <w:pPr>
      <w:numPr>
        <w:ilvl w:val="0"/>
        <w:numId w:val="0"/>
      </w:numPr>
    </w:pPr>
    <w:rPr>
      <w:color w:val="FF0000"/>
    </w:rPr>
  </w:style>
  <w:style w:type="character" w:styleId="CommentReference">
    <w:name w:val="annotation reference"/>
    <w:basedOn w:val="DefaultParagraphFont"/>
    <w:uiPriority w:val="99"/>
    <w:semiHidden/>
    <w:unhideWhenUsed/>
    <w:rsid w:val="00406522"/>
    <w:rPr>
      <w:sz w:val="16"/>
      <w:szCs w:val="16"/>
    </w:rPr>
  </w:style>
  <w:style w:type="paragraph" w:styleId="CommentText">
    <w:name w:val="annotation text"/>
    <w:basedOn w:val="Normal"/>
    <w:link w:val="CommentTextChar"/>
    <w:uiPriority w:val="99"/>
    <w:semiHidden/>
    <w:unhideWhenUsed/>
    <w:rsid w:val="00406522"/>
    <w:rPr>
      <w:rFonts w:eastAsiaTheme="minorEastAsia"/>
      <w:szCs w:val="20"/>
      <w:lang w:val="en-US"/>
    </w:rPr>
  </w:style>
  <w:style w:type="character" w:customStyle="1" w:styleId="CommentTextChar">
    <w:name w:val="Comment Text Char"/>
    <w:basedOn w:val="DefaultParagraphFont"/>
    <w:link w:val="CommentText"/>
    <w:uiPriority w:val="99"/>
    <w:semiHidden/>
    <w:rsid w:val="0040652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06522"/>
    <w:rPr>
      <w:b/>
      <w:bCs/>
    </w:rPr>
  </w:style>
  <w:style w:type="character" w:customStyle="1" w:styleId="CommentSubjectChar">
    <w:name w:val="Comment Subject Char"/>
    <w:basedOn w:val="CommentTextChar"/>
    <w:link w:val="CommentSubject"/>
    <w:uiPriority w:val="99"/>
    <w:semiHidden/>
    <w:rsid w:val="00406522"/>
    <w:rPr>
      <w:rFonts w:eastAsiaTheme="minorEastAsia"/>
      <w:b/>
      <w:bCs/>
      <w:sz w:val="20"/>
      <w:szCs w:val="20"/>
      <w:lang w:val="en-US"/>
    </w:rPr>
  </w:style>
  <w:style w:type="paragraph" w:customStyle="1" w:styleId="9TableText">
    <w:name w:val="9. Table Text"/>
    <w:basedOn w:val="Normal"/>
    <w:rsid w:val="00406522"/>
    <w:pPr>
      <w:numPr>
        <w:numId w:val="13"/>
      </w:numPr>
      <w:spacing w:before="60" w:after="60"/>
    </w:pPr>
    <w:rPr>
      <w:rFonts w:ascii="Arial" w:eastAsia="Calibri" w:hAnsi="Arial" w:cs="Arial"/>
      <w:color w:val="000000"/>
    </w:rPr>
  </w:style>
  <w:style w:type="paragraph" w:customStyle="1" w:styleId="9aTableHeading">
    <w:name w:val="9a. Table Heading"/>
    <w:basedOn w:val="9TableText"/>
    <w:rsid w:val="00406522"/>
    <w:pPr>
      <w:numPr>
        <w:ilvl w:val="1"/>
      </w:numPr>
      <w:jc w:val="center"/>
    </w:pPr>
  </w:style>
  <w:style w:type="paragraph" w:customStyle="1" w:styleId="9cTabletextsubparagraphnumbered">
    <w:name w:val="9c. Table text sub paragraph (numbered)"/>
    <w:basedOn w:val="Normal"/>
    <w:rsid w:val="00406522"/>
    <w:pPr>
      <w:tabs>
        <w:tab w:val="num" w:pos="851"/>
      </w:tabs>
      <w:spacing w:before="60" w:after="60"/>
      <w:ind w:left="851" w:hanging="567"/>
    </w:pPr>
    <w:rPr>
      <w:rFonts w:ascii="Arial" w:eastAsia="Calibri" w:hAnsi="Arial" w:cs="Times New Roman"/>
      <w:color w:val="000000"/>
    </w:rPr>
  </w:style>
  <w:style w:type="paragraph" w:customStyle="1" w:styleId="BQBullet0">
    <w:name w:val="BQ Bullet"/>
    <w:basedOn w:val="BQBodyCopy"/>
    <w:link w:val="BQBulletChar0"/>
    <w:rsid w:val="00406522"/>
    <w:pPr>
      <w:ind w:left="720" w:hanging="360"/>
    </w:pPr>
  </w:style>
  <w:style w:type="character" w:customStyle="1" w:styleId="BQBulletChar0">
    <w:name w:val="BQ Bullet Char"/>
    <w:basedOn w:val="BQBodyCopyChar"/>
    <w:link w:val="BQBullet0"/>
    <w:rsid w:val="00406522"/>
    <w:rPr>
      <w:rFonts w:ascii="Calibri Light" w:eastAsiaTheme="minorEastAsia" w:hAnsi="Calibri Light"/>
      <w:color w:val="413642"/>
      <w:sz w:val="20"/>
      <w:szCs w:val="24"/>
      <w:lang w:val="en-US"/>
    </w:rPr>
  </w:style>
  <w:style w:type="character" w:customStyle="1" w:styleId="ListParagraphChar">
    <w:name w:val="List Paragraph Char"/>
    <w:basedOn w:val="DefaultParagraphFont"/>
    <w:link w:val="ListParagraph0"/>
    <w:uiPriority w:val="34"/>
    <w:rsid w:val="00406522"/>
    <w:rPr>
      <w:rFonts w:ascii="Gotham Thin" w:eastAsia="Times New Roman" w:hAnsi="Gotham Thin" w:cs="Times New Roman"/>
      <w:sz w:val="20"/>
      <w:szCs w:val="24"/>
      <w:lang w:eastAsia="en-AU"/>
    </w:rPr>
  </w:style>
  <w:style w:type="table" w:customStyle="1" w:styleId="TableGrid1">
    <w:name w:val="Table Grid1"/>
    <w:basedOn w:val="TableNormal"/>
    <w:next w:val="TableGrid"/>
    <w:uiPriority w:val="39"/>
    <w:rsid w:val="00406522"/>
    <w:pPr>
      <w:spacing w:before="0"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Qtopofpage">
    <w:name w:val="BQ top of page"/>
    <w:basedOn w:val="BQBody"/>
    <w:rsid w:val="00406522"/>
    <w:pPr>
      <w:pageBreakBefore/>
    </w:pPr>
    <w:rPr>
      <w:sz w:val="36"/>
      <w:szCs w:val="36"/>
    </w:rPr>
  </w:style>
  <w:style w:type="paragraph" w:customStyle="1" w:styleId="calloutbox">
    <w:name w:val="call out box"/>
    <w:basedOn w:val="BQBody"/>
    <w:link w:val="calloutboxChar"/>
    <w:rsid w:val="00406522"/>
    <w:pPr>
      <w:pBdr>
        <w:top w:val="single" w:sz="18" w:space="8" w:color="DE7C00"/>
        <w:left w:val="single" w:sz="18" w:space="8" w:color="DE7C00"/>
        <w:bottom w:val="single" w:sz="18" w:space="8" w:color="DE7C00"/>
        <w:right w:val="single" w:sz="18" w:space="8" w:color="DE7C00"/>
      </w:pBdr>
      <w:spacing w:before="240" w:after="240"/>
      <w:ind w:left="567" w:right="567"/>
      <w:contextualSpacing/>
    </w:pPr>
  </w:style>
  <w:style w:type="character" w:customStyle="1" w:styleId="calloutboxChar">
    <w:name w:val="call out box Char"/>
    <w:basedOn w:val="BQBodyChar"/>
    <w:link w:val="calloutbox"/>
    <w:rsid w:val="00406522"/>
    <w:rPr>
      <w:rFonts w:ascii="Calibri Light" w:eastAsiaTheme="minorEastAsia" w:hAnsi="Calibri Light"/>
      <w:color w:val="413642"/>
      <w:sz w:val="20"/>
      <w:szCs w:val="24"/>
      <w:lang w:val="en-US"/>
    </w:rPr>
  </w:style>
  <w:style w:type="paragraph" w:styleId="EndnoteText">
    <w:name w:val="endnote text"/>
    <w:basedOn w:val="Normal"/>
    <w:link w:val="EndnoteTextChar"/>
    <w:uiPriority w:val="99"/>
    <w:semiHidden/>
    <w:unhideWhenUsed/>
    <w:rsid w:val="00406522"/>
    <w:rPr>
      <w:rFonts w:eastAsiaTheme="minorEastAsia"/>
      <w:szCs w:val="20"/>
    </w:rPr>
  </w:style>
  <w:style w:type="character" w:customStyle="1" w:styleId="EndnoteTextChar">
    <w:name w:val="Endnote Text Char"/>
    <w:basedOn w:val="DefaultParagraphFont"/>
    <w:link w:val="EndnoteText"/>
    <w:uiPriority w:val="99"/>
    <w:semiHidden/>
    <w:rsid w:val="00406522"/>
    <w:rPr>
      <w:rFonts w:eastAsiaTheme="minorEastAsia"/>
      <w:sz w:val="20"/>
      <w:szCs w:val="20"/>
    </w:rPr>
  </w:style>
  <w:style w:type="character" w:styleId="Strong">
    <w:name w:val="Strong"/>
    <w:basedOn w:val="DefaultParagraphFont"/>
    <w:uiPriority w:val="22"/>
    <w:qFormat/>
    <w:rsid w:val="002E6048"/>
    <w:rPr>
      <w:rFonts w:ascii="Gotham" w:hAnsi="Gotham"/>
      <w:b/>
      <w:bCs/>
    </w:rPr>
  </w:style>
  <w:style w:type="paragraph" w:customStyle="1" w:styleId="Sections">
    <w:name w:val="Sections"/>
    <w:basedOn w:val="BodyTextIndent3"/>
    <w:rsid w:val="00406522"/>
    <w:pPr>
      <w:ind w:left="1080"/>
    </w:pPr>
  </w:style>
  <w:style w:type="paragraph" w:styleId="BodyTextIndent3">
    <w:name w:val="Body Text Indent 3"/>
    <w:basedOn w:val="Normal"/>
    <w:link w:val="BodyTextIndent3Char"/>
    <w:uiPriority w:val="99"/>
    <w:semiHidden/>
    <w:unhideWhenUsed/>
    <w:rsid w:val="00406522"/>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406522"/>
    <w:rPr>
      <w:rFonts w:eastAsiaTheme="minorEastAsia"/>
      <w:sz w:val="16"/>
      <w:szCs w:val="16"/>
    </w:rPr>
  </w:style>
  <w:style w:type="paragraph" w:customStyle="1" w:styleId="BQbullet2">
    <w:name w:val="BQ bullet 2"/>
    <w:basedOn w:val="BQBullet"/>
    <w:rsid w:val="00406522"/>
    <w:pPr>
      <w:numPr>
        <w:ilvl w:val="1"/>
      </w:numPr>
    </w:pPr>
  </w:style>
  <w:style w:type="paragraph" w:customStyle="1" w:styleId="BQnumberedbullet">
    <w:name w:val="BQ numbered bullet"/>
    <w:basedOn w:val="BQBody"/>
    <w:rsid w:val="00406522"/>
    <w:pPr>
      <w:numPr>
        <w:numId w:val="16"/>
      </w:numPr>
      <w:tabs>
        <w:tab w:val="num" w:pos="1134"/>
      </w:tabs>
      <w:ind w:left="1134" w:hanging="1134"/>
    </w:pPr>
  </w:style>
  <w:style w:type="paragraph" w:customStyle="1" w:styleId="BQNumberedPara">
    <w:name w:val="BQ Numbered Para"/>
    <w:basedOn w:val="BQBody"/>
    <w:rsid w:val="00406522"/>
    <w:pPr>
      <w:ind w:left="426" w:hanging="426"/>
    </w:pPr>
  </w:style>
  <w:style w:type="paragraph" w:customStyle="1" w:styleId="BQsections">
    <w:name w:val="BQ sections"/>
    <w:basedOn w:val="BQnumberedbullet"/>
    <w:rsid w:val="00406522"/>
    <w:pPr>
      <w:numPr>
        <w:numId w:val="17"/>
      </w:numPr>
      <w:tabs>
        <w:tab w:val="num" w:pos="397"/>
      </w:tabs>
      <w:ind w:left="397" w:hanging="284"/>
    </w:pPr>
  </w:style>
  <w:style w:type="character" w:styleId="Emphasis">
    <w:name w:val="Emphasis"/>
    <w:basedOn w:val="DefaultParagraphFont"/>
    <w:uiPriority w:val="20"/>
    <w:qFormat/>
    <w:rsid w:val="002E6048"/>
    <w:rPr>
      <w:rFonts w:ascii="Gotham" w:hAnsi="Gotham"/>
      <w:i/>
      <w:iCs/>
    </w:rPr>
  </w:style>
  <w:style w:type="paragraph" w:customStyle="1" w:styleId="BQletteredbullet">
    <w:name w:val="BQ lettered bullet"/>
    <w:rsid w:val="00406522"/>
    <w:pPr>
      <w:numPr>
        <w:numId w:val="19"/>
      </w:numPr>
      <w:spacing w:before="120" w:after="120"/>
      <w:ind w:hanging="720"/>
    </w:pPr>
    <w:rPr>
      <w:rFonts w:ascii="Calibri Light" w:eastAsiaTheme="minorEastAsia" w:hAnsi="Calibri Light"/>
      <w:lang w:val="en-US"/>
    </w:rPr>
  </w:style>
  <w:style w:type="paragraph" w:styleId="Revision">
    <w:name w:val="Revision"/>
    <w:hidden/>
    <w:uiPriority w:val="99"/>
    <w:semiHidden/>
    <w:rsid w:val="00406522"/>
    <w:pPr>
      <w:spacing w:before="0" w:after="0"/>
    </w:pPr>
    <w:rPr>
      <w:rFonts w:eastAsiaTheme="minorEastAsia"/>
      <w:sz w:val="24"/>
      <w:szCs w:val="24"/>
    </w:rPr>
  </w:style>
  <w:style w:type="paragraph" w:customStyle="1" w:styleId="Contentslistheading1">
    <w:name w:val="Contents list heading 1"/>
    <w:basedOn w:val="BQHeading1"/>
    <w:rsid w:val="00406522"/>
    <w:pPr>
      <w:numPr>
        <w:numId w:val="20"/>
      </w:numPr>
      <w:ind w:left="360"/>
    </w:pPr>
  </w:style>
  <w:style w:type="paragraph" w:customStyle="1" w:styleId="ContentsListHeading2">
    <w:name w:val="Contents List Heading 2"/>
    <w:basedOn w:val="Contentslistheading1"/>
    <w:rsid w:val="00406522"/>
  </w:style>
  <w:style w:type="table" w:styleId="PlainTable1">
    <w:name w:val="Plain Table 1"/>
    <w:basedOn w:val="TableNormal"/>
    <w:uiPriority w:val="41"/>
    <w:rsid w:val="00B502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link w:val="Caption"/>
    <w:uiPriority w:val="35"/>
    <w:rsid w:val="007E5711"/>
    <w:rPr>
      <w:b/>
    </w:rPr>
  </w:style>
  <w:style w:type="paragraph" w:customStyle="1" w:styleId="BodyText1">
    <w:name w:val="Body Text1"/>
    <w:basedOn w:val="BodyText"/>
    <w:link w:val="BodytextChar0"/>
    <w:qFormat/>
    <w:rsid w:val="002E6048"/>
    <w:pPr>
      <w:keepLines/>
      <w:spacing w:before="0" w:line="240" w:lineRule="auto"/>
      <w:jc w:val="both"/>
    </w:pPr>
    <w:rPr>
      <w:rFonts w:ascii="Gotham" w:hAnsi="Gotham"/>
      <w:lang w:val="en"/>
    </w:rPr>
  </w:style>
  <w:style w:type="paragraph" w:customStyle="1" w:styleId="Bulletpoints">
    <w:name w:val="Bullet points"/>
    <w:basedOn w:val="BodyText"/>
    <w:rsid w:val="007E5711"/>
    <w:pPr>
      <w:keepLines/>
      <w:numPr>
        <w:numId w:val="21"/>
      </w:numPr>
      <w:spacing w:before="0" w:line="240" w:lineRule="auto"/>
      <w:jc w:val="both"/>
    </w:pPr>
    <w:rPr>
      <w:rFonts w:ascii="Arial" w:hAnsi="Arial" w:cs="Arial"/>
      <w:szCs w:val="22"/>
      <w:lang w:val="en"/>
    </w:rPr>
  </w:style>
  <w:style w:type="character" w:customStyle="1" w:styleId="BodytextChar0">
    <w:name w:val="Body text Char"/>
    <w:basedOn w:val="BodyTextChar"/>
    <w:link w:val="BodyText1"/>
    <w:rsid w:val="002E6048"/>
    <w:rPr>
      <w:rFonts w:ascii="Gotham" w:eastAsia="Times New Roman" w:hAnsi="Gotham" w:cs="Times New Roman"/>
      <w:sz w:val="20"/>
      <w:szCs w:val="24"/>
      <w:lang w:val="en" w:eastAsia="en-AU"/>
    </w:rPr>
  </w:style>
  <w:style w:type="paragraph" w:customStyle="1" w:styleId="NormalHeader">
    <w:name w:val="Normal Header"/>
    <w:basedOn w:val="BodyText"/>
    <w:qFormat/>
    <w:rsid w:val="007E5711"/>
    <w:pPr>
      <w:spacing w:before="0" w:line="240" w:lineRule="auto"/>
    </w:pPr>
    <w:rPr>
      <w:rFonts w:ascii="Arial" w:hAnsi="Arial"/>
      <w:szCs w:val="20"/>
    </w:rPr>
  </w:style>
  <w:style w:type="paragraph" w:customStyle="1" w:styleId="Body">
    <w:name w:val="Body"/>
    <w:rsid w:val="00CC314B"/>
    <w:pPr>
      <w:pBdr>
        <w:top w:val="none" w:sz="96" w:space="31" w:color="FFFFFF" w:shadow="1" w:frame="1"/>
        <w:left w:val="none" w:sz="96" w:space="31" w:color="FFFFFF" w:shadow="1" w:frame="1"/>
        <w:bottom w:val="none" w:sz="96" w:space="31" w:color="FFFFFF" w:shadow="1" w:frame="1"/>
        <w:right w:val="none" w:sz="96" w:space="31" w:color="FFFFFF" w:shadow="1" w:frame="1"/>
      </w:pBdr>
      <w:spacing w:before="0" w:after="0"/>
    </w:pPr>
    <w:rPr>
      <w:rFonts w:ascii="Calibri" w:eastAsia="Times New Roman" w:hAnsi="Calibri" w:cs="Calibri"/>
      <w:color w:val="000000"/>
      <w:u w:color="000000"/>
      <w:lang w:eastAsia="en-AU"/>
    </w:rPr>
  </w:style>
  <w:style w:type="paragraph" w:styleId="NoSpacing">
    <w:name w:val="No Spacing"/>
    <w:uiPriority w:val="1"/>
    <w:qFormat/>
    <w:rsid w:val="00976BDA"/>
    <w:pPr>
      <w:spacing w:before="0" w:after="200" w:line="276" w:lineRule="auto"/>
    </w:pPr>
    <w:rPr>
      <w:rFonts w:ascii="Public Sans" w:hAnsi="Public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6729">
      <w:bodyDiv w:val="1"/>
      <w:marLeft w:val="0"/>
      <w:marRight w:val="0"/>
      <w:marTop w:val="0"/>
      <w:marBottom w:val="0"/>
      <w:divBdr>
        <w:top w:val="none" w:sz="0" w:space="0" w:color="auto"/>
        <w:left w:val="none" w:sz="0" w:space="0" w:color="auto"/>
        <w:bottom w:val="none" w:sz="0" w:space="0" w:color="auto"/>
        <w:right w:val="none" w:sz="0" w:space="0" w:color="auto"/>
      </w:divBdr>
      <w:divsChild>
        <w:div w:id="342972692">
          <w:marLeft w:val="0"/>
          <w:marRight w:val="0"/>
          <w:marTop w:val="0"/>
          <w:marBottom w:val="0"/>
          <w:divBdr>
            <w:top w:val="none" w:sz="0" w:space="0" w:color="auto"/>
            <w:left w:val="none" w:sz="0" w:space="0" w:color="auto"/>
            <w:bottom w:val="none" w:sz="0" w:space="0" w:color="auto"/>
            <w:right w:val="none" w:sz="0" w:space="0" w:color="auto"/>
          </w:divBdr>
          <w:divsChild>
            <w:div w:id="679703560">
              <w:marLeft w:val="0"/>
              <w:marRight w:val="0"/>
              <w:marTop w:val="0"/>
              <w:marBottom w:val="0"/>
              <w:divBdr>
                <w:top w:val="none" w:sz="0" w:space="0" w:color="auto"/>
                <w:left w:val="none" w:sz="0" w:space="0" w:color="auto"/>
                <w:bottom w:val="none" w:sz="0" w:space="0" w:color="auto"/>
                <w:right w:val="none" w:sz="0" w:space="0" w:color="auto"/>
              </w:divBdr>
              <w:divsChild>
                <w:div w:id="738940661">
                  <w:marLeft w:val="0"/>
                  <w:marRight w:val="0"/>
                  <w:marTop w:val="0"/>
                  <w:marBottom w:val="0"/>
                  <w:divBdr>
                    <w:top w:val="none" w:sz="0" w:space="0" w:color="auto"/>
                    <w:left w:val="none" w:sz="0" w:space="0" w:color="auto"/>
                    <w:bottom w:val="none" w:sz="0" w:space="0" w:color="auto"/>
                    <w:right w:val="none" w:sz="0" w:space="0" w:color="auto"/>
                  </w:divBdr>
                  <w:divsChild>
                    <w:div w:id="642849715">
                      <w:marLeft w:val="0"/>
                      <w:marRight w:val="0"/>
                      <w:marTop w:val="0"/>
                      <w:marBottom w:val="0"/>
                      <w:divBdr>
                        <w:top w:val="none" w:sz="0" w:space="0" w:color="auto"/>
                        <w:left w:val="none" w:sz="0" w:space="0" w:color="auto"/>
                        <w:bottom w:val="none" w:sz="0" w:space="0" w:color="auto"/>
                        <w:right w:val="none" w:sz="0" w:space="0" w:color="auto"/>
                      </w:divBdr>
                      <w:divsChild>
                        <w:div w:id="4364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2647">
      <w:bodyDiv w:val="1"/>
      <w:marLeft w:val="0"/>
      <w:marRight w:val="0"/>
      <w:marTop w:val="0"/>
      <w:marBottom w:val="0"/>
      <w:divBdr>
        <w:top w:val="none" w:sz="0" w:space="0" w:color="auto"/>
        <w:left w:val="none" w:sz="0" w:space="0" w:color="auto"/>
        <w:bottom w:val="none" w:sz="0" w:space="0" w:color="auto"/>
        <w:right w:val="none" w:sz="0" w:space="0" w:color="auto"/>
      </w:divBdr>
    </w:div>
    <w:div w:id="750396163">
      <w:bodyDiv w:val="1"/>
      <w:marLeft w:val="0"/>
      <w:marRight w:val="0"/>
      <w:marTop w:val="0"/>
      <w:marBottom w:val="0"/>
      <w:divBdr>
        <w:top w:val="none" w:sz="0" w:space="0" w:color="auto"/>
        <w:left w:val="none" w:sz="0" w:space="0" w:color="auto"/>
        <w:bottom w:val="none" w:sz="0" w:space="0" w:color="auto"/>
        <w:right w:val="none" w:sz="0" w:space="0" w:color="auto"/>
      </w:divBdr>
    </w:div>
    <w:div w:id="1153912038">
      <w:bodyDiv w:val="1"/>
      <w:marLeft w:val="0"/>
      <w:marRight w:val="0"/>
      <w:marTop w:val="0"/>
      <w:marBottom w:val="0"/>
      <w:divBdr>
        <w:top w:val="none" w:sz="0" w:space="0" w:color="auto"/>
        <w:left w:val="none" w:sz="0" w:space="0" w:color="auto"/>
        <w:bottom w:val="none" w:sz="0" w:space="0" w:color="auto"/>
        <w:right w:val="none" w:sz="0" w:space="0" w:color="auto"/>
      </w:divBdr>
    </w:div>
    <w:div w:id="1392073335">
      <w:bodyDiv w:val="1"/>
      <w:marLeft w:val="0"/>
      <w:marRight w:val="0"/>
      <w:marTop w:val="0"/>
      <w:marBottom w:val="0"/>
      <w:divBdr>
        <w:top w:val="none" w:sz="0" w:space="0" w:color="auto"/>
        <w:left w:val="none" w:sz="0" w:space="0" w:color="auto"/>
        <w:bottom w:val="none" w:sz="0" w:space="0" w:color="auto"/>
        <w:right w:val="none" w:sz="0" w:space="0" w:color="auto"/>
      </w:divBdr>
    </w:div>
    <w:div w:id="1598715801">
      <w:bodyDiv w:val="1"/>
      <w:marLeft w:val="0"/>
      <w:marRight w:val="0"/>
      <w:marTop w:val="0"/>
      <w:marBottom w:val="0"/>
      <w:divBdr>
        <w:top w:val="none" w:sz="0" w:space="0" w:color="auto"/>
        <w:left w:val="none" w:sz="0" w:space="0" w:color="auto"/>
        <w:bottom w:val="none" w:sz="0" w:space="0" w:color="auto"/>
        <w:right w:val="none" w:sz="0" w:space="0" w:color="auto"/>
      </w:divBdr>
    </w:div>
    <w:div w:id="1884294391">
      <w:bodyDiv w:val="1"/>
      <w:marLeft w:val="0"/>
      <w:marRight w:val="0"/>
      <w:marTop w:val="0"/>
      <w:marBottom w:val="0"/>
      <w:divBdr>
        <w:top w:val="none" w:sz="0" w:space="0" w:color="auto"/>
        <w:left w:val="none" w:sz="0" w:space="0" w:color="auto"/>
        <w:bottom w:val="none" w:sz="0" w:space="0" w:color="auto"/>
        <w:right w:val="none" w:sz="0" w:space="0" w:color="auto"/>
      </w:divBdr>
    </w:div>
    <w:div w:id="1923223084">
      <w:bodyDiv w:val="1"/>
      <w:marLeft w:val="0"/>
      <w:marRight w:val="0"/>
      <w:marTop w:val="0"/>
      <w:marBottom w:val="0"/>
      <w:divBdr>
        <w:top w:val="none" w:sz="0" w:space="0" w:color="auto"/>
        <w:left w:val="none" w:sz="0" w:space="0" w:color="auto"/>
        <w:bottom w:val="none" w:sz="0" w:space="0" w:color="auto"/>
        <w:right w:val="none" w:sz="0" w:space="0" w:color="auto"/>
      </w:divBdr>
    </w:div>
    <w:div w:id="19568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McAulay\AppData\Local\Microsoft\Windows\INetCache\IE\V8SOBII8\1%20DBC%20Governance%20Chap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izlink\dhs\FACS\NON-FACS\MCKENZIK.BIZLINK\Desktop\ADC%20data%202020%20-%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izlink\dhs\FACS\NON-FACS\MCKENZIK.BIZLINK\Desktop\ADC%20data%202020%20-%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izlink\dhs\FACS\NON-FACS\MCKENZIK.BIZLINK\Desktop\ADC%20data%202020%20-%202021%20(Autosav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6.2938605034017978E-2"/>
          <c:y val="8.6673889490790898E-2"/>
          <c:w val="0.90264539152438172"/>
          <c:h val="0.76530271879612011"/>
        </c:manualLayout>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Calls!$A$6:$H$6</c:f>
              <c:strCache>
                <c:ptCount val="8"/>
                <c:pt idx="0">
                  <c:v>July-Sept 2019</c:v>
                </c:pt>
                <c:pt idx="1">
                  <c:v>Oct-Dec 2019</c:v>
                </c:pt>
                <c:pt idx="2">
                  <c:v>Jan-Mar 2020</c:v>
                </c:pt>
                <c:pt idx="3">
                  <c:v>Apr-June 2020</c:v>
                </c:pt>
                <c:pt idx="4">
                  <c:v>July-Sept 2020</c:v>
                </c:pt>
                <c:pt idx="5">
                  <c:v>Oct-Dec 2020</c:v>
                </c:pt>
                <c:pt idx="6">
                  <c:v>Jan-Mar 2021</c:v>
                </c:pt>
                <c:pt idx="7">
                  <c:v>Apr-June 2021</c:v>
                </c:pt>
              </c:strCache>
            </c:strRef>
          </c:cat>
          <c:val>
            <c:numRef>
              <c:f>Calls!$A$7:$H$7</c:f>
              <c:numCache>
                <c:formatCode>General</c:formatCode>
                <c:ptCount val="8"/>
                <c:pt idx="0">
                  <c:v>2454</c:v>
                </c:pt>
                <c:pt idx="1">
                  <c:v>2224</c:v>
                </c:pt>
                <c:pt idx="2">
                  <c:v>2677</c:v>
                </c:pt>
                <c:pt idx="3">
                  <c:v>3088</c:v>
                </c:pt>
                <c:pt idx="4">
                  <c:v>3459</c:v>
                </c:pt>
                <c:pt idx="5">
                  <c:v>2751</c:v>
                </c:pt>
                <c:pt idx="6">
                  <c:v>3752</c:v>
                </c:pt>
                <c:pt idx="7">
                  <c:v>3128</c:v>
                </c:pt>
              </c:numCache>
            </c:numRef>
          </c:val>
          <c:extLst>
            <c:ext xmlns:c16="http://schemas.microsoft.com/office/drawing/2014/chart" uri="{C3380CC4-5D6E-409C-BE32-E72D297353CC}">
              <c16:uniqueId val="{00000000-F25F-4BA6-92D9-3832A3C411B9}"/>
            </c:ext>
          </c:extLst>
        </c:ser>
        <c:dLbls>
          <c:dLblPos val="outEnd"/>
          <c:showLegendKey val="0"/>
          <c:showVal val="1"/>
          <c:showCatName val="0"/>
          <c:showSerName val="0"/>
          <c:showPercent val="0"/>
          <c:showBubbleSize val="0"/>
        </c:dLbls>
        <c:gapWidth val="219"/>
        <c:overlap val="-27"/>
        <c:axId val="523023128"/>
        <c:axId val="523025424"/>
      </c:barChart>
      <c:catAx>
        <c:axId val="52302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3025424"/>
        <c:crosses val="autoZero"/>
        <c:auto val="1"/>
        <c:lblAlgn val="ctr"/>
        <c:lblOffset val="100"/>
        <c:noMultiLvlLbl val="0"/>
      </c:catAx>
      <c:valAx>
        <c:axId val="52302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23023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dPt>
            <c:idx val="0"/>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1-0E9A-4E3E-B19C-A3C687364E64}"/>
              </c:ext>
            </c:extLst>
          </c:dPt>
          <c:dPt>
            <c:idx val="1"/>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3-0E9A-4E3E-B19C-A3C687364E64}"/>
              </c:ext>
            </c:extLst>
          </c:dPt>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Cohort!$A$4:$A$5</c:f>
              <c:strCache>
                <c:ptCount val="2"/>
                <c:pt idx="0">
                  <c:v>Older people</c:v>
                </c:pt>
                <c:pt idx="1">
                  <c:v>Adults with disability</c:v>
                </c:pt>
              </c:strCache>
            </c:strRef>
          </c:cat>
          <c:val>
            <c:numRef>
              <c:f>Cohort!$B$4:$B$5</c:f>
              <c:numCache>
                <c:formatCode>General</c:formatCode>
                <c:ptCount val="2"/>
                <c:pt idx="0">
                  <c:v>2777</c:v>
                </c:pt>
                <c:pt idx="1">
                  <c:v>789</c:v>
                </c:pt>
              </c:numCache>
            </c:numRef>
          </c:val>
          <c:extLst>
            <c:ext xmlns:c16="http://schemas.microsoft.com/office/drawing/2014/chart" uri="{C3380CC4-5D6E-409C-BE32-E72D297353CC}">
              <c16:uniqueId val="{00000004-0E9A-4E3E-B19C-A3C687364E6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815010004937505"/>
          <c:y val="0.42308945756780403"/>
          <c:w val="0.29600831579220915"/>
          <c:h val="0.1723396033829104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5167104111986006E-2"/>
          <c:y val="6.9264069264069264E-2"/>
          <c:w val="0.87427734033245841"/>
          <c:h val="0.85722943722943723"/>
        </c:manualLayout>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Gender!$A$11:$A$14</c:f>
              <c:strCache>
                <c:ptCount val="4"/>
                <c:pt idx="0">
                  <c:v>Female</c:v>
                </c:pt>
                <c:pt idx="1">
                  <c:v>Male</c:v>
                </c:pt>
                <c:pt idx="2">
                  <c:v>Not stated</c:v>
                </c:pt>
                <c:pt idx="3">
                  <c:v>Total</c:v>
                </c:pt>
              </c:strCache>
            </c:strRef>
          </c:cat>
          <c:val>
            <c:numRef>
              <c:f>Gender!$B$11:$B$14</c:f>
              <c:numCache>
                <c:formatCode>General</c:formatCode>
                <c:ptCount val="4"/>
                <c:pt idx="0">
                  <c:v>1824</c:v>
                </c:pt>
                <c:pt idx="1">
                  <c:v>950</c:v>
                </c:pt>
                <c:pt idx="2">
                  <c:v>3</c:v>
                </c:pt>
                <c:pt idx="3">
                  <c:v>2777</c:v>
                </c:pt>
              </c:numCache>
            </c:numRef>
          </c:val>
          <c:extLst>
            <c:ext xmlns:c16="http://schemas.microsoft.com/office/drawing/2014/chart" uri="{C3380CC4-5D6E-409C-BE32-E72D297353CC}">
              <c16:uniqueId val="{00000000-5600-4039-B02E-7DD061849DF9}"/>
            </c:ext>
          </c:extLst>
        </c:ser>
        <c:dLbls>
          <c:dLblPos val="inEnd"/>
          <c:showLegendKey val="0"/>
          <c:showVal val="1"/>
          <c:showCatName val="0"/>
          <c:showSerName val="0"/>
          <c:showPercent val="0"/>
          <c:showBubbleSize val="0"/>
        </c:dLbls>
        <c:gapWidth val="219"/>
        <c:overlap val="-27"/>
        <c:axId val="430461792"/>
        <c:axId val="430457856"/>
      </c:barChart>
      <c:catAx>
        <c:axId val="43046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0457856"/>
        <c:crosses val="autoZero"/>
        <c:auto val="1"/>
        <c:lblAlgn val="ctr"/>
        <c:lblOffset val="100"/>
        <c:noMultiLvlLbl val="0"/>
      </c:catAx>
      <c:valAx>
        <c:axId val="43045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046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innerShdw blurRad="25400" dist="12700" dir="13500000">
                <a:srgbClr val="000000">
                  <a:alpha val="45000"/>
                </a:srgb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Age!$B$18:$B$29</c:f>
              <c:strCache>
                <c:ptCount val="12"/>
                <c:pt idx="0">
                  <c:v>50-54</c:v>
                </c:pt>
                <c:pt idx="1">
                  <c:v>55-59</c:v>
                </c:pt>
                <c:pt idx="2">
                  <c:v>60-64</c:v>
                </c:pt>
                <c:pt idx="3">
                  <c:v>65-69</c:v>
                </c:pt>
                <c:pt idx="4">
                  <c:v>70-74</c:v>
                </c:pt>
                <c:pt idx="5">
                  <c:v>75-79</c:v>
                </c:pt>
                <c:pt idx="6">
                  <c:v>80-84</c:v>
                </c:pt>
                <c:pt idx="7">
                  <c:v>85-89</c:v>
                </c:pt>
                <c:pt idx="8">
                  <c:v>90-94</c:v>
                </c:pt>
                <c:pt idx="9">
                  <c:v>95-99</c:v>
                </c:pt>
                <c:pt idx="10">
                  <c:v>100+</c:v>
                </c:pt>
                <c:pt idx="11">
                  <c:v>Unknown</c:v>
                </c:pt>
              </c:strCache>
            </c:strRef>
          </c:cat>
          <c:val>
            <c:numRef>
              <c:f>Age!$C$18:$C$29</c:f>
              <c:numCache>
                <c:formatCode>General</c:formatCode>
                <c:ptCount val="12"/>
                <c:pt idx="0">
                  <c:v>3</c:v>
                </c:pt>
                <c:pt idx="1">
                  <c:v>8</c:v>
                </c:pt>
                <c:pt idx="2">
                  <c:v>17</c:v>
                </c:pt>
                <c:pt idx="3">
                  <c:v>223</c:v>
                </c:pt>
                <c:pt idx="4">
                  <c:v>318</c:v>
                </c:pt>
                <c:pt idx="5">
                  <c:v>357</c:v>
                </c:pt>
                <c:pt idx="6">
                  <c:v>464</c:v>
                </c:pt>
                <c:pt idx="7">
                  <c:v>425</c:v>
                </c:pt>
                <c:pt idx="8">
                  <c:v>324</c:v>
                </c:pt>
                <c:pt idx="9">
                  <c:v>111</c:v>
                </c:pt>
                <c:pt idx="10">
                  <c:v>31</c:v>
                </c:pt>
                <c:pt idx="11">
                  <c:v>496</c:v>
                </c:pt>
              </c:numCache>
            </c:numRef>
          </c:val>
          <c:extLst>
            <c:ext xmlns:c16="http://schemas.microsoft.com/office/drawing/2014/chart" uri="{C3380CC4-5D6E-409C-BE32-E72D297353CC}">
              <c16:uniqueId val="{00000000-299D-4E66-B498-4FD1D27313CB}"/>
            </c:ext>
          </c:extLst>
        </c:ser>
        <c:dLbls>
          <c:dLblPos val="inEnd"/>
          <c:showLegendKey val="0"/>
          <c:showVal val="1"/>
          <c:showCatName val="0"/>
          <c:showSerName val="0"/>
          <c:showPercent val="0"/>
          <c:showBubbleSize val="0"/>
        </c:dLbls>
        <c:gapWidth val="100"/>
        <c:overlap val="-24"/>
        <c:axId val="617096112"/>
        <c:axId val="617093488"/>
      </c:barChart>
      <c:catAx>
        <c:axId val="6170961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17093488"/>
        <c:crosses val="autoZero"/>
        <c:auto val="1"/>
        <c:lblAlgn val="ctr"/>
        <c:lblOffset val="100"/>
        <c:noMultiLvlLbl val="0"/>
      </c:catAx>
      <c:valAx>
        <c:axId val="6170934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1709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7210785948173422"/>
          <c:y val="8.0200501253132828E-2"/>
          <c:w val="0.68770217240760212"/>
          <c:h val="0.83468671679197992"/>
        </c:manualLayout>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'Reporter relationship'!$A$22:$A$35</c:f>
              <c:strCache>
                <c:ptCount val="14"/>
                <c:pt idx="0">
                  <c:v>Child</c:v>
                </c:pt>
                <c:pt idx="1">
                  <c:v>Paid Worker</c:v>
                </c:pt>
                <c:pt idx="2">
                  <c:v>Person Experiencing Abuse</c:v>
                </c:pt>
                <c:pt idx="3">
                  <c:v>Other Relative</c:v>
                </c:pt>
                <c:pt idx="4">
                  <c:v>Friend</c:v>
                </c:pt>
                <c:pt idx="5">
                  <c:v>Neighbour</c:v>
                </c:pt>
                <c:pt idx="6">
                  <c:v>Grandchild</c:v>
                </c:pt>
                <c:pt idx="7">
                  <c:v>Sibling</c:v>
                </c:pt>
                <c:pt idx="8">
                  <c:v>Other</c:v>
                </c:pt>
                <c:pt idx="9">
                  <c:v>Unknown or Not Disclosed</c:v>
                </c:pt>
                <c:pt idx="10">
                  <c:v>Spouse or Partner</c:v>
                </c:pt>
                <c:pt idx="11">
                  <c:v>Advocate</c:v>
                </c:pt>
                <c:pt idx="12">
                  <c:v>Parent</c:v>
                </c:pt>
                <c:pt idx="13">
                  <c:v>Primary Carer</c:v>
                </c:pt>
              </c:strCache>
            </c:strRef>
          </c:cat>
          <c:val>
            <c:numRef>
              <c:f>'Reporter relationship'!$B$22:$B$35</c:f>
              <c:numCache>
                <c:formatCode>General</c:formatCode>
                <c:ptCount val="14"/>
                <c:pt idx="0">
                  <c:v>814</c:v>
                </c:pt>
                <c:pt idx="1">
                  <c:v>734</c:v>
                </c:pt>
                <c:pt idx="2">
                  <c:v>462</c:v>
                </c:pt>
                <c:pt idx="3">
                  <c:v>179</c:v>
                </c:pt>
                <c:pt idx="4">
                  <c:v>166</c:v>
                </c:pt>
                <c:pt idx="5">
                  <c:v>118</c:v>
                </c:pt>
                <c:pt idx="6">
                  <c:v>102</c:v>
                </c:pt>
                <c:pt idx="7">
                  <c:v>66</c:v>
                </c:pt>
                <c:pt idx="8">
                  <c:v>50</c:v>
                </c:pt>
                <c:pt idx="9">
                  <c:v>39</c:v>
                </c:pt>
                <c:pt idx="10">
                  <c:v>34</c:v>
                </c:pt>
                <c:pt idx="11">
                  <c:v>10</c:v>
                </c:pt>
                <c:pt idx="12">
                  <c:v>2</c:v>
                </c:pt>
                <c:pt idx="13">
                  <c:v>1</c:v>
                </c:pt>
              </c:numCache>
            </c:numRef>
          </c:val>
          <c:extLst>
            <c:ext xmlns:c16="http://schemas.microsoft.com/office/drawing/2014/chart" uri="{C3380CC4-5D6E-409C-BE32-E72D297353CC}">
              <c16:uniqueId val="{00000000-C108-4A09-87D5-C07C3AF700B3}"/>
            </c:ext>
          </c:extLst>
        </c:ser>
        <c:dLbls>
          <c:dLblPos val="inEnd"/>
          <c:showLegendKey val="0"/>
          <c:showVal val="1"/>
          <c:showCatName val="0"/>
          <c:showSerName val="0"/>
          <c:showPercent val="0"/>
          <c:showBubbleSize val="0"/>
        </c:dLbls>
        <c:gapWidth val="182"/>
        <c:axId val="621663928"/>
        <c:axId val="621657368"/>
      </c:barChart>
      <c:catAx>
        <c:axId val="621663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21657368"/>
        <c:crosses val="autoZero"/>
        <c:auto val="1"/>
        <c:lblAlgn val="ctr"/>
        <c:lblOffset val="100"/>
        <c:noMultiLvlLbl val="0"/>
      </c:catAx>
      <c:valAx>
        <c:axId val="621657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2166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'PSOA relationship'!$A$24:$A$35</c:f>
              <c:strCache>
                <c:ptCount val="12"/>
                <c:pt idx="0">
                  <c:v>Child</c:v>
                </c:pt>
                <c:pt idx="1">
                  <c:v>Spouse/partner</c:v>
                </c:pt>
                <c:pt idx="2">
                  <c:v>Paid staff</c:v>
                </c:pt>
                <c:pt idx="3">
                  <c:v>Friend</c:v>
                </c:pt>
                <c:pt idx="4">
                  <c:v>Other relative</c:v>
                </c:pt>
                <c:pt idx="5">
                  <c:v>Neighbour</c:v>
                </c:pt>
                <c:pt idx="6">
                  <c:v>Grandchild</c:v>
                </c:pt>
                <c:pt idx="7">
                  <c:v>Other</c:v>
                </c:pt>
                <c:pt idx="8">
                  <c:v>Sibling</c:v>
                </c:pt>
                <c:pt idx="9">
                  <c:v>Other community member</c:v>
                </c:pt>
                <c:pt idx="10">
                  <c:v>Unknown/not disclosed</c:v>
                </c:pt>
                <c:pt idx="11">
                  <c:v>Former paid staff</c:v>
                </c:pt>
              </c:strCache>
            </c:strRef>
          </c:cat>
          <c:val>
            <c:numRef>
              <c:f>'PSOA relationship'!$B$24:$B$35</c:f>
              <c:numCache>
                <c:formatCode>General</c:formatCode>
                <c:ptCount val="12"/>
                <c:pt idx="0">
                  <c:v>1514</c:v>
                </c:pt>
                <c:pt idx="1">
                  <c:v>334</c:v>
                </c:pt>
                <c:pt idx="2">
                  <c:v>203</c:v>
                </c:pt>
                <c:pt idx="3">
                  <c:v>150</c:v>
                </c:pt>
                <c:pt idx="4">
                  <c:v>96</c:v>
                </c:pt>
                <c:pt idx="5">
                  <c:v>91</c:v>
                </c:pt>
                <c:pt idx="6">
                  <c:v>91</c:v>
                </c:pt>
                <c:pt idx="7">
                  <c:v>90</c:v>
                </c:pt>
                <c:pt idx="8">
                  <c:v>74</c:v>
                </c:pt>
                <c:pt idx="9">
                  <c:v>64</c:v>
                </c:pt>
                <c:pt idx="10">
                  <c:v>52</c:v>
                </c:pt>
                <c:pt idx="11">
                  <c:v>13</c:v>
                </c:pt>
              </c:numCache>
            </c:numRef>
          </c:val>
          <c:extLst>
            <c:ext xmlns:c16="http://schemas.microsoft.com/office/drawing/2014/chart" uri="{C3380CC4-5D6E-409C-BE32-E72D297353CC}">
              <c16:uniqueId val="{00000000-9F62-41FC-808B-C51CC265754D}"/>
            </c:ext>
          </c:extLst>
        </c:ser>
        <c:dLbls>
          <c:dLblPos val="inEnd"/>
          <c:showLegendKey val="0"/>
          <c:showVal val="1"/>
          <c:showCatName val="0"/>
          <c:showSerName val="0"/>
          <c:showPercent val="0"/>
          <c:showBubbleSize val="0"/>
        </c:dLbls>
        <c:gapWidth val="182"/>
        <c:axId val="504509664"/>
        <c:axId val="504508024"/>
      </c:barChart>
      <c:catAx>
        <c:axId val="504509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04508024"/>
        <c:crosses val="autoZero"/>
        <c:auto val="1"/>
        <c:lblAlgn val="ctr"/>
        <c:lblOffset val="100"/>
        <c:noMultiLvlLbl val="0"/>
      </c:catAx>
      <c:valAx>
        <c:axId val="504508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450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4F-4FCF-B5DE-AF72C5AC21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4F-4FCF-B5DE-AF72C5AC21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4F-4FCF-B5DE-AF72C5AC21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94F-4FCF-B5DE-AF72C5AC212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94F-4FCF-B5DE-AF72C5AC212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94F-4FCF-B5DE-AF72C5AC2124}"/>
              </c:ext>
            </c:extLst>
          </c:dPt>
          <c:dLbls>
            <c:dLbl>
              <c:idx val="4"/>
              <c:layout>
                <c:manualLayout>
                  <c:x val="-1.1111111111111112E-2"/>
                  <c:y val="-4.629629629629629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94F-4FCF-B5DE-AF72C5AC2124}"/>
                </c:ext>
              </c:extLst>
            </c:dLbl>
            <c:dLbl>
              <c:idx val="5"/>
              <c:layout>
                <c:manualLayout>
                  <c:x val="1.9444444444444393E-2"/>
                  <c:y val="-4.629629629629634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94F-4FCF-B5DE-AF72C5AC212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'Type of abuse'!$A$17:$A$22</c:f>
              <c:strCache>
                <c:ptCount val="6"/>
                <c:pt idx="0">
                  <c:v>Psychological abuse</c:v>
                </c:pt>
                <c:pt idx="1">
                  <c:v>Financial abuse</c:v>
                </c:pt>
                <c:pt idx="2">
                  <c:v>Neglect</c:v>
                </c:pt>
                <c:pt idx="3">
                  <c:v>Physical abuse</c:v>
                </c:pt>
                <c:pt idx="4">
                  <c:v>Other</c:v>
                </c:pt>
                <c:pt idx="5">
                  <c:v>Sexual abuse</c:v>
                </c:pt>
              </c:strCache>
            </c:strRef>
          </c:cat>
          <c:val>
            <c:numRef>
              <c:f>'Type of abuse'!$B$17:$B$22</c:f>
              <c:numCache>
                <c:formatCode>General</c:formatCode>
                <c:ptCount val="6"/>
                <c:pt idx="0">
                  <c:v>1619</c:v>
                </c:pt>
                <c:pt idx="1">
                  <c:v>1216</c:v>
                </c:pt>
                <c:pt idx="2">
                  <c:v>826</c:v>
                </c:pt>
                <c:pt idx="3">
                  <c:v>393</c:v>
                </c:pt>
                <c:pt idx="4">
                  <c:v>71</c:v>
                </c:pt>
                <c:pt idx="5">
                  <c:v>30</c:v>
                </c:pt>
              </c:numCache>
            </c:numRef>
          </c:val>
          <c:extLst>
            <c:ext xmlns:c16="http://schemas.microsoft.com/office/drawing/2014/chart" uri="{C3380CC4-5D6E-409C-BE32-E72D297353CC}">
              <c16:uniqueId val="{0000000C-594F-4FCF-B5DE-AF72C5AC212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14042"/>
      </a:dk2>
      <a:lt2>
        <a:srgbClr val="F1F2F2"/>
      </a:lt2>
      <a:accent1>
        <a:srgbClr val="324851"/>
      </a:accent1>
      <a:accent2>
        <a:srgbClr val="414042"/>
      </a:accent2>
      <a:accent3>
        <a:srgbClr val="122872"/>
      </a:accent3>
      <a:accent4>
        <a:srgbClr val="2BDCF5"/>
      </a:accent4>
      <a:accent5>
        <a:srgbClr val="86E641"/>
      </a:accent5>
      <a:accent6>
        <a:srgbClr val="D5D6D8"/>
      </a:accent6>
      <a:hlink>
        <a:srgbClr val="324851"/>
      </a:hlink>
      <a:folHlink>
        <a:srgbClr val="324851"/>
      </a:folHlink>
    </a:clrScheme>
    <a:fontScheme name="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2B57C00F6BB44933CB7C526F225E6" ma:contentTypeVersion="5" ma:contentTypeDescription="Create a new document." ma:contentTypeScope="" ma:versionID="0ee2c39fc4324950c80a453b4822b7c3">
  <xsd:schema xmlns:xsd="http://www.w3.org/2001/XMLSchema" xmlns:xs="http://www.w3.org/2001/XMLSchema" xmlns:p="http://schemas.microsoft.com/office/2006/metadata/properties" xmlns:ns2="6a96e1dc-975a-422b-9d7a-8853a4bcd9ca" targetNamespace="http://schemas.microsoft.com/office/2006/metadata/properties" ma:root="true" ma:fieldsID="7637244c1ca02dca148c0ad1aa00db97" ns2:_="">
    <xsd:import namespace="6a96e1dc-975a-422b-9d7a-8853a4bcd9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6e1dc-975a-422b-9d7a-8853a4bcd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56C9-95FD-480E-AA69-1B7972A1458D}">
  <ds:schemaRefs>
    <ds:schemaRef ds:uri="http://schemas.microsoft.com/sharepoint/v3/contenttype/forms"/>
  </ds:schemaRefs>
</ds:datastoreItem>
</file>

<file path=customXml/itemProps2.xml><?xml version="1.0" encoding="utf-8"?>
<ds:datastoreItem xmlns:ds="http://schemas.openxmlformats.org/officeDocument/2006/customXml" ds:itemID="{FD31C75B-8691-46E7-B1B9-510175D3646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a96e1dc-975a-422b-9d7a-8853a4bcd9ca"/>
    <ds:schemaRef ds:uri="http://www.w3.org/XML/1998/namespace"/>
    <ds:schemaRef ds:uri="http://purl.org/dc/dcmitype/"/>
  </ds:schemaRefs>
</ds:datastoreItem>
</file>

<file path=customXml/itemProps3.xml><?xml version="1.0" encoding="utf-8"?>
<ds:datastoreItem xmlns:ds="http://schemas.openxmlformats.org/officeDocument/2006/customXml" ds:itemID="{CB8F7C56-D7DA-4386-B50F-352E82F0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6e1dc-975a-422b-9d7a-8853a4bcd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9C725-5E3C-4212-89F3-E243EB38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DBC Governance Chapter</Template>
  <TotalTime>2</TotalTime>
  <Pages>15</Pages>
  <Words>4863</Words>
  <Characters>27724</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Communites &amp; Justice</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amongst older people aged over 55 in NSW submission</dc:title>
  <dc:subject>INSERT HEADER HERE</dc:subject>
  <dc:creator>Renee Kastanias</dc:creator>
  <cp:lastModifiedBy>Joshua Youkhana</cp:lastModifiedBy>
  <cp:revision>4</cp:revision>
  <cp:lastPrinted>2022-06-10T04:25:00Z</cp:lastPrinted>
  <dcterms:created xsi:type="dcterms:W3CDTF">2022-06-14T00:48:00Z</dcterms:created>
  <dcterms:modified xsi:type="dcterms:W3CDTF">2022-06-15T03:38:00Z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0x010100AC82B57C00F6BB44933CB7C526F225E6</vt:lpwstr>
  </property>
</Properties>
</file>