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C2" w:rsidRDefault="00C054FC" w:rsidP="00E46B2E">
      <w:pPr>
        <w:rPr>
          <w:sz w:val="24"/>
          <w:szCs w:val="24"/>
        </w:rPr>
      </w:pPr>
      <w:bookmarkStart w:id="0" w:name="_GoBack"/>
      <w:bookmarkEnd w:id="0"/>
      <w:r w:rsidRPr="003C3320">
        <w:rPr>
          <w:rFonts w:ascii="Arial" w:eastAsiaTheme="majorEastAsia" w:hAnsi="Arial" w:cstheme="majorBidi"/>
          <w:b/>
          <w:noProof/>
          <w:color w:val="FF0000"/>
          <w:spacing w:val="5"/>
          <w:sz w:val="52"/>
          <w:szCs w:val="52"/>
          <w:lang w:eastAsia="en-AU"/>
        </w:rPr>
        <w:drawing>
          <wp:anchor distT="0" distB="0" distL="114300" distR="114300" simplePos="0" relativeHeight="251659264" behindDoc="1" locked="0" layoutInCell="1" allowOverlap="1" wp14:anchorId="44A01A3E" wp14:editId="4541FFC3">
            <wp:simplePos x="0" y="0"/>
            <wp:positionH relativeFrom="page">
              <wp:posOffset>-10547</wp:posOffset>
            </wp:positionH>
            <wp:positionV relativeFrom="paragraph">
              <wp:posOffset>-651380</wp:posOffset>
            </wp:positionV>
            <wp:extent cx="7815580" cy="165163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5580" cy="1651635"/>
                    </a:xfrm>
                    <a:prstGeom prst="rect">
                      <a:avLst/>
                    </a:prstGeom>
                  </pic:spPr>
                </pic:pic>
              </a:graphicData>
            </a:graphic>
            <wp14:sizeRelH relativeFrom="page">
              <wp14:pctWidth>0</wp14:pctWidth>
            </wp14:sizeRelH>
            <wp14:sizeRelV relativeFrom="page">
              <wp14:pctHeight>0</wp14:pctHeight>
            </wp14:sizeRelV>
          </wp:anchor>
        </w:drawing>
      </w:r>
    </w:p>
    <w:p w:rsidR="009F7488" w:rsidRDefault="001440C2" w:rsidP="009F7488">
      <w:pPr>
        <w:framePr w:w="8998" w:h="3414" w:hSpace="181" w:wrap="around" w:vAnchor="page" w:hAnchor="page" w:x="2086" w:y="3236"/>
        <w:shd w:val="solid" w:color="FFFFFF" w:fill="FFFFFF"/>
        <w:spacing w:after="0" w:line="240" w:lineRule="auto"/>
        <w:rPr>
          <w:rFonts w:ascii="Calibri" w:eastAsia="Times New Roman" w:hAnsi="Calibri" w:cs="Arial"/>
          <w:color w:val="002664"/>
          <w:sz w:val="56"/>
          <w:szCs w:val="56"/>
          <w:lang w:eastAsia="en-GB"/>
        </w:rPr>
      </w:pPr>
      <w:r w:rsidRPr="001440C2">
        <w:rPr>
          <w:rFonts w:ascii="Calibri" w:eastAsia="Times New Roman" w:hAnsi="Calibri" w:cs="Arial"/>
          <w:color w:val="002664"/>
          <w:sz w:val="56"/>
          <w:szCs w:val="56"/>
          <w:lang w:eastAsia="en-GB"/>
        </w:rPr>
        <w:t>Establish</w:t>
      </w:r>
      <w:r>
        <w:rPr>
          <w:rFonts w:ascii="Calibri" w:eastAsia="Times New Roman" w:hAnsi="Calibri" w:cs="Arial"/>
          <w:color w:val="002664"/>
          <w:sz w:val="56"/>
          <w:szCs w:val="56"/>
          <w:lang w:eastAsia="en-GB"/>
        </w:rPr>
        <w:t xml:space="preserve">ing </w:t>
      </w:r>
      <w:r w:rsidR="00D77126">
        <w:rPr>
          <w:rFonts w:ascii="Calibri" w:eastAsia="Times New Roman" w:hAnsi="Calibri" w:cs="Arial"/>
          <w:color w:val="002664"/>
          <w:sz w:val="56"/>
          <w:szCs w:val="56"/>
          <w:lang w:eastAsia="en-GB"/>
        </w:rPr>
        <w:t>a</w:t>
      </w:r>
      <w:r w:rsidRPr="001440C2">
        <w:rPr>
          <w:rFonts w:ascii="Calibri" w:eastAsia="Times New Roman" w:hAnsi="Calibri" w:cs="Arial"/>
          <w:color w:val="002664"/>
          <w:sz w:val="56"/>
          <w:szCs w:val="56"/>
          <w:lang w:eastAsia="en-GB"/>
        </w:rPr>
        <w:t xml:space="preserve"> Standing Review </w:t>
      </w:r>
      <w:r w:rsidR="009F7488">
        <w:rPr>
          <w:rFonts w:ascii="Calibri" w:eastAsia="Times New Roman" w:hAnsi="Calibri" w:cs="Arial"/>
          <w:color w:val="002664"/>
          <w:sz w:val="56"/>
          <w:szCs w:val="56"/>
          <w:lang w:eastAsia="en-GB"/>
        </w:rPr>
        <w:t>to</w:t>
      </w:r>
    </w:p>
    <w:p w:rsidR="001440C2" w:rsidRPr="001440C2" w:rsidRDefault="009F7488" w:rsidP="009F7488">
      <w:pPr>
        <w:framePr w:w="8998" w:h="3414" w:hSpace="181" w:wrap="around" w:vAnchor="page" w:hAnchor="page" w:x="2086" w:y="3236"/>
        <w:shd w:val="solid" w:color="FFFFFF" w:fill="FFFFFF"/>
        <w:spacing w:after="0" w:line="240" w:lineRule="auto"/>
        <w:rPr>
          <w:rFonts w:ascii="Calibri" w:eastAsia="Times New Roman" w:hAnsi="Calibri" w:cs="Arial"/>
          <w:color w:val="002664"/>
          <w:sz w:val="56"/>
          <w:szCs w:val="56"/>
          <w:lang w:eastAsia="en-GB"/>
        </w:rPr>
      </w:pPr>
      <w:r>
        <w:rPr>
          <w:rFonts w:ascii="Calibri" w:eastAsia="Times New Roman" w:hAnsi="Calibri" w:cs="Arial"/>
          <w:color w:val="002664"/>
          <w:sz w:val="56"/>
          <w:szCs w:val="56"/>
          <w:lang w:eastAsia="en-GB"/>
        </w:rPr>
        <w:t>Monitor, Assess and Report</w:t>
      </w:r>
      <w:r w:rsidR="001440C2" w:rsidRPr="001440C2">
        <w:rPr>
          <w:rFonts w:ascii="Calibri" w:eastAsia="Times New Roman" w:hAnsi="Calibri" w:cs="Arial"/>
          <w:color w:val="002664"/>
          <w:sz w:val="56"/>
          <w:szCs w:val="56"/>
          <w:lang w:eastAsia="en-GB"/>
        </w:rPr>
        <w:t xml:space="preserve"> </w:t>
      </w:r>
      <w:r>
        <w:rPr>
          <w:rFonts w:ascii="Calibri" w:eastAsia="Times New Roman" w:hAnsi="Calibri" w:cs="Arial"/>
          <w:color w:val="002664"/>
          <w:sz w:val="56"/>
          <w:szCs w:val="56"/>
          <w:lang w:eastAsia="en-GB"/>
        </w:rPr>
        <w:t xml:space="preserve">on </w:t>
      </w:r>
      <w:r w:rsidR="009F4271">
        <w:rPr>
          <w:rFonts w:ascii="Calibri" w:eastAsia="Times New Roman" w:hAnsi="Calibri" w:cs="Arial"/>
          <w:color w:val="002664"/>
          <w:sz w:val="56"/>
          <w:szCs w:val="56"/>
          <w:lang w:eastAsia="en-GB"/>
        </w:rPr>
        <w:t xml:space="preserve">the implementation of the </w:t>
      </w:r>
      <w:r w:rsidR="001440C2" w:rsidRPr="001440C2">
        <w:rPr>
          <w:rFonts w:ascii="Calibri" w:eastAsia="Times New Roman" w:hAnsi="Calibri" w:cs="Arial"/>
          <w:color w:val="002664"/>
          <w:sz w:val="56"/>
          <w:szCs w:val="56"/>
          <w:lang w:eastAsia="en-GB"/>
        </w:rPr>
        <w:t xml:space="preserve">National Disability Strategy </w:t>
      </w:r>
      <w:r w:rsidR="009F4271">
        <w:rPr>
          <w:rFonts w:ascii="Calibri" w:eastAsia="Times New Roman" w:hAnsi="Calibri" w:cs="Arial"/>
          <w:color w:val="002664"/>
          <w:sz w:val="56"/>
          <w:szCs w:val="56"/>
          <w:lang w:eastAsia="en-GB"/>
        </w:rPr>
        <w:t>in NSW</w:t>
      </w:r>
    </w:p>
    <w:p w:rsidR="001440C2" w:rsidRPr="001440C2" w:rsidRDefault="001440C2" w:rsidP="00402BE5">
      <w:pPr>
        <w:framePr w:w="8998" w:h="3414" w:hSpace="181" w:wrap="around" w:vAnchor="page" w:hAnchor="page" w:x="2086" w:y="3236"/>
        <w:shd w:val="solid" w:color="FFFFFF" w:fill="FFFFFF"/>
        <w:spacing w:after="0" w:line="240" w:lineRule="auto"/>
        <w:jc w:val="right"/>
        <w:rPr>
          <w:rFonts w:ascii="Calibri" w:eastAsia="Times New Roman" w:hAnsi="Calibri" w:cs="Arial"/>
          <w:color w:val="002664"/>
          <w:sz w:val="36"/>
          <w:szCs w:val="56"/>
          <w:lang w:eastAsia="en-GB"/>
        </w:rPr>
      </w:pPr>
    </w:p>
    <w:p w:rsidR="001440C2" w:rsidRPr="001440C2" w:rsidRDefault="001440C2" w:rsidP="00D77126">
      <w:pPr>
        <w:framePr w:w="8998" w:h="3414" w:hSpace="181" w:wrap="around" w:vAnchor="page" w:hAnchor="page" w:x="2086" w:y="3236"/>
        <w:shd w:val="solid" w:color="FFFFFF" w:fill="FFFFFF"/>
        <w:spacing w:after="0" w:line="240" w:lineRule="auto"/>
        <w:rPr>
          <w:rFonts w:ascii="Calibri" w:eastAsia="Times New Roman" w:hAnsi="Calibri" w:cs="Arial"/>
          <w:color w:val="002664"/>
          <w:sz w:val="56"/>
          <w:szCs w:val="56"/>
          <w:lang w:val="en-US" w:eastAsia="en-GB"/>
        </w:rPr>
      </w:pPr>
      <w:r>
        <w:rPr>
          <w:rFonts w:ascii="Calibri" w:eastAsia="Times New Roman" w:hAnsi="Calibri" w:cs="Arial"/>
          <w:color w:val="002664"/>
          <w:sz w:val="56"/>
          <w:szCs w:val="56"/>
          <w:lang w:val="en-US" w:eastAsia="en-GB"/>
        </w:rPr>
        <w:t xml:space="preserve">Position Paper </w:t>
      </w:r>
    </w:p>
    <w:p w:rsidR="001440C2" w:rsidRPr="001440C2" w:rsidRDefault="001440C2" w:rsidP="00402BE5">
      <w:pPr>
        <w:framePr w:w="8998" w:h="3414" w:hSpace="181" w:wrap="around" w:vAnchor="page" w:hAnchor="page" w:x="2086" w:y="3236"/>
        <w:shd w:val="solid" w:color="FFFFFF" w:fill="FFFFFF"/>
        <w:spacing w:after="0" w:line="240" w:lineRule="auto"/>
        <w:jc w:val="right"/>
        <w:rPr>
          <w:rFonts w:ascii="Calibri" w:eastAsia="Times New Roman" w:hAnsi="Calibri" w:cs="Arial"/>
          <w:color w:val="002664"/>
          <w:sz w:val="48"/>
          <w:szCs w:val="56"/>
          <w:lang w:val="en-US" w:eastAsia="en-GB"/>
        </w:rPr>
      </w:pPr>
    </w:p>
    <w:p w:rsidR="00C054FC" w:rsidRDefault="00857BF3" w:rsidP="005440E3">
      <w:pPr>
        <w:framePr w:w="8998" w:h="3414" w:hSpace="181" w:wrap="around" w:vAnchor="page" w:hAnchor="page" w:x="2086" w:y="3236"/>
        <w:shd w:val="solid" w:color="FFFFFF" w:fill="FFFFFF"/>
        <w:spacing w:before="240" w:after="0" w:line="240" w:lineRule="auto"/>
        <w:jc w:val="right"/>
      </w:pPr>
      <w:r w:rsidRPr="00D77126">
        <w:rPr>
          <w:rFonts w:ascii="Calibri" w:eastAsia="Times New Roman" w:hAnsi="Calibri" w:cs="Times New Roman"/>
          <w:b/>
          <w:color w:val="1F497D"/>
          <w:sz w:val="40"/>
          <w:szCs w:val="24"/>
          <w:lang w:eastAsia="en-GB"/>
        </w:rPr>
        <w:fldChar w:fldCharType="begin"/>
      </w:r>
      <w:r w:rsidRPr="00D77126">
        <w:rPr>
          <w:rFonts w:ascii="Calibri" w:eastAsia="Times New Roman" w:hAnsi="Calibri" w:cs="Times New Roman"/>
          <w:b/>
          <w:color w:val="1F497D"/>
          <w:sz w:val="40"/>
          <w:szCs w:val="24"/>
          <w:lang w:eastAsia="en-GB"/>
        </w:rPr>
        <w:instrText xml:space="preserve"> DATE  \@ "MMMM yyyy" </w:instrText>
      </w:r>
      <w:r w:rsidRPr="00D77126">
        <w:rPr>
          <w:rFonts w:ascii="Calibri" w:eastAsia="Times New Roman" w:hAnsi="Calibri" w:cs="Times New Roman"/>
          <w:b/>
          <w:color w:val="1F497D"/>
          <w:sz w:val="40"/>
          <w:szCs w:val="24"/>
          <w:lang w:eastAsia="en-GB"/>
        </w:rPr>
        <w:fldChar w:fldCharType="separate"/>
      </w:r>
      <w:r w:rsidR="00BC5AE8">
        <w:rPr>
          <w:rFonts w:ascii="Calibri" w:eastAsia="Times New Roman" w:hAnsi="Calibri" w:cs="Times New Roman"/>
          <w:b/>
          <w:noProof/>
          <w:color w:val="1F497D"/>
          <w:sz w:val="40"/>
          <w:szCs w:val="24"/>
          <w:lang w:eastAsia="en-GB"/>
        </w:rPr>
        <w:t>September 2020</w:t>
      </w:r>
      <w:r w:rsidRPr="00D77126">
        <w:rPr>
          <w:rFonts w:ascii="Calibri" w:eastAsia="Times New Roman" w:hAnsi="Calibri" w:cs="Times New Roman"/>
          <w:b/>
          <w:color w:val="1F497D"/>
          <w:sz w:val="40"/>
          <w:szCs w:val="24"/>
          <w:lang w:eastAsia="en-GB"/>
        </w:rPr>
        <w:fldChar w:fldCharType="end"/>
      </w:r>
    </w:p>
    <w:p w:rsidR="001440C2" w:rsidRDefault="001440C2">
      <w:pPr>
        <w:rPr>
          <w:rFonts w:asciiTheme="majorHAnsi" w:hAnsiTheme="majorHAnsi" w:cstheme="majorBidi"/>
          <w:color w:val="2E74B5" w:themeColor="accent1" w:themeShade="BF"/>
          <w:sz w:val="44"/>
          <w:szCs w:val="44"/>
          <w:highlight w:val="lightGray"/>
        </w:rPr>
      </w:pPr>
      <w:r>
        <w:rPr>
          <w:sz w:val="44"/>
          <w:szCs w:val="44"/>
          <w:highlight w:val="lightGray"/>
        </w:rPr>
        <w:br w:type="page"/>
      </w:r>
    </w:p>
    <w:sdt>
      <w:sdtPr>
        <w:rPr>
          <w:rFonts w:asciiTheme="minorHAnsi" w:eastAsiaTheme="minorHAnsi" w:hAnsiTheme="minorHAnsi" w:cstheme="minorBidi"/>
          <w:b w:val="0"/>
          <w:bCs w:val="0"/>
          <w:i/>
          <w:iCs/>
          <w:noProof/>
          <w:color w:val="auto"/>
          <w:sz w:val="22"/>
          <w:szCs w:val="22"/>
          <w:lang w:val="en-AU"/>
        </w:rPr>
        <w:id w:val="1851991221"/>
        <w:docPartObj>
          <w:docPartGallery w:val="Table of Contents"/>
          <w:docPartUnique/>
        </w:docPartObj>
      </w:sdtPr>
      <w:sdtEndPr>
        <w:rPr>
          <w:rFonts w:ascii="Arial Black" w:hAnsi="Arial Black" w:cs="Arial"/>
          <w:i w:val="0"/>
          <w:iCs w:val="0"/>
          <w:sz w:val="20"/>
          <w:szCs w:val="20"/>
        </w:rPr>
      </w:sdtEndPr>
      <w:sdtContent>
        <w:p w:rsidR="005F6220" w:rsidRPr="00A2519B" w:rsidRDefault="005F6220">
          <w:pPr>
            <w:pStyle w:val="TOCHeading"/>
            <w:rPr>
              <w:rFonts w:ascii="Arial" w:hAnsi="Arial" w:cs="Arial"/>
              <w:color w:val="002060"/>
              <w:sz w:val="40"/>
              <w:szCs w:val="40"/>
            </w:rPr>
          </w:pPr>
          <w:r w:rsidRPr="005F6220">
            <w:rPr>
              <w:rFonts w:ascii="Arial" w:hAnsi="Arial" w:cs="Arial"/>
              <w:color w:val="002060"/>
              <w:sz w:val="40"/>
              <w:szCs w:val="40"/>
            </w:rPr>
            <w:t xml:space="preserve">Table of </w:t>
          </w:r>
          <w:r w:rsidR="00AE539A">
            <w:rPr>
              <w:rFonts w:ascii="Arial" w:hAnsi="Arial" w:cs="Arial"/>
              <w:color w:val="002060"/>
              <w:sz w:val="40"/>
              <w:szCs w:val="40"/>
            </w:rPr>
            <w:t>c</w:t>
          </w:r>
          <w:r w:rsidRPr="005F6220">
            <w:rPr>
              <w:rFonts w:ascii="Arial" w:hAnsi="Arial" w:cs="Arial"/>
              <w:color w:val="002060"/>
              <w:sz w:val="40"/>
              <w:szCs w:val="40"/>
            </w:rPr>
            <w:t>ontents</w:t>
          </w:r>
        </w:p>
        <w:p w:rsidR="00954D84" w:rsidRDefault="005F6220">
          <w:pPr>
            <w:pStyle w:val="TOC1"/>
            <w:tabs>
              <w:tab w:val="left" w:pos="660"/>
              <w:tab w:val="right" w:leader="dot" w:pos="10194"/>
            </w:tabs>
            <w:rPr>
              <w:rFonts w:eastAsiaTheme="minorEastAsia"/>
              <w:b w:val="0"/>
              <w:bCs w:val="0"/>
              <w:noProof/>
              <w:sz w:val="24"/>
              <w:szCs w:val="24"/>
              <w:lang w:eastAsia="en-GB"/>
            </w:rPr>
          </w:pPr>
          <w:r w:rsidRPr="00A2519B">
            <w:rPr>
              <w:rFonts w:ascii="Arial Black" w:hAnsi="Arial Black"/>
              <w:b w:val="0"/>
              <w:bCs w:val="0"/>
            </w:rPr>
            <w:fldChar w:fldCharType="begin"/>
          </w:r>
          <w:r w:rsidRPr="00A2519B">
            <w:rPr>
              <w:rFonts w:ascii="Arial Black" w:hAnsi="Arial Black"/>
            </w:rPr>
            <w:instrText xml:space="preserve"> TOC \o "1-3" \h \z \u </w:instrText>
          </w:r>
          <w:r w:rsidRPr="00A2519B">
            <w:rPr>
              <w:rFonts w:ascii="Arial Black" w:hAnsi="Arial Black"/>
              <w:b w:val="0"/>
              <w:bCs w:val="0"/>
            </w:rPr>
            <w:fldChar w:fldCharType="separate"/>
          </w:r>
          <w:hyperlink w:anchor="_Toc50989012" w:history="1">
            <w:r w:rsidR="00954D84" w:rsidRPr="00845277">
              <w:rPr>
                <w:rStyle w:val="Hyperlink"/>
                <w:rFonts w:ascii="Arial Black" w:hAnsi="Arial Black"/>
                <w:noProof/>
              </w:rPr>
              <w:t>1.</w:t>
            </w:r>
            <w:r w:rsidR="00954D84">
              <w:rPr>
                <w:rFonts w:eastAsiaTheme="minorEastAsia"/>
                <w:b w:val="0"/>
                <w:bCs w:val="0"/>
                <w:noProof/>
                <w:sz w:val="24"/>
                <w:szCs w:val="24"/>
                <w:lang w:eastAsia="en-GB"/>
              </w:rPr>
              <w:tab/>
            </w:r>
            <w:r w:rsidR="00954D84" w:rsidRPr="00845277">
              <w:rPr>
                <w:rStyle w:val="Hyperlink"/>
                <w:rFonts w:ascii="Arial Black" w:hAnsi="Arial Black"/>
                <w:noProof/>
              </w:rPr>
              <w:t>INTRODUCTION</w:t>
            </w:r>
            <w:r w:rsidR="00954D84">
              <w:rPr>
                <w:noProof/>
                <w:webHidden/>
              </w:rPr>
              <w:tab/>
            </w:r>
            <w:r w:rsidR="00954D84">
              <w:rPr>
                <w:noProof/>
                <w:webHidden/>
              </w:rPr>
              <w:fldChar w:fldCharType="begin"/>
            </w:r>
            <w:r w:rsidR="00954D84">
              <w:rPr>
                <w:noProof/>
                <w:webHidden/>
              </w:rPr>
              <w:instrText xml:space="preserve"> PAGEREF _Toc50989012 \h </w:instrText>
            </w:r>
            <w:r w:rsidR="00954D84">
              <w:rPr>
                <w:noProof/>
                <w:webHidden/>
              </w:rPr>
            </w:r>
            <w:r w:rsidR="00954D84">
              <w:rPr>
                <w:noProof/>
                <w:webHidden/>
              </w:rPr>
              <w:fldChar w:fldCharType="separate"/>
            </w:r>
            <w:r w:rsidR="00954D84">
              <w:rPr>
                <w:noProof/>
                <w:webHidden/>
              </w:rPr>
              <w:t>3</w:t>
            </w:r>
            <w:r w:rsidR="00954D84">
              <w:rPr>
                <w:noProof/>
                <w:webHidden/>
              </w:rPr>
              <w:fldChar w:fldCharType="end"/>
            </w:r>
          </w:hyperlink>
        </w:p>
        <w:p w:rsidR="00954D84" w:rsidRDefault="003D3791">
          <w:pPr>
            <w:pStyle w:val="TOC2"/>
            <w:rPr>
              <w:rFonts w:eastAsiaTheme="minorEastAsia" w:cstheme="minorBidi"/>
              <w:b w:val="0"/>
              <w:bCs w:val="0"/>
              <w:i w:val="0"/>
              <w:iCs w:val="0"/>
              <w:lang w:eastAsia="en-GB"/>
            </w:rPr>
          </w:pPr>
          <w:r>
            <w:tab/>
          </w:r>
          <w:hyperlink w:anchor="_Toc50989013" w:history="1">
            <w:r w:rsidR="00954D84" w:rsidRPr="003D3791">
              <w:rPr>
                <w:rStyle w:val="Hyperlink"/>
                <w:rFonts w:ascii="Arial Black" w:hAnsi="Arial Black"/>
                <w:i w:val="0"/>
                <w:sz w:val="20"/>
                <w:szCs w:val="20"/>
              </w:rPr>
              <w:t>Background</w:t>
            </w:r>
            <w:r w:rsidR="00954D84">
              <w:rPr>
                <w:webHidden/>
              </w:rPr>
              <w:tab/>
            </w:r>
            <w:r w:rsidR="00954D84">
              <w:rPr>
                <w:webHidden/>
              </w:rPr>
              <w:fldChar w:fldCharType="begin"/>
            </w:r>
            <w:r w:rsidR="00954D84">
              <w:rPr>
                <w:webHidden/>
              </w:rPr>
              <w:instrText xml:space="preserve"> PAGEREF _Toc50989013 \h </w:instrText>
            </w:r>
            <w:r w:rsidR="00954D84">
              <w:rPr>
                <w:webHidden/>
              </w:rPr>
            </w:r>
            <w:r w:rsidR="00954D84">
              <w:rPr>
                <w:webHidden/>
              </w:rPr>
              <w:fldChar w:fldCharType="separate"/>
            </w:r>
            <w:r w:rsidR="00954D84">
              <w:rPr>
                <w:webHidden/>
              </w:rPr>
              <w:t>3</w:t>
            </w:r>
            <w:r w:rsidR="00954D84">
              <w:rPr>
                <w:webHidden/>
              </w:rPr>
              <w:fldChar w:fldCharType="end"/>
            </w:r>
          </w:hyperlink>
        </w:p>
        <w:p w:rsidR="00954D84" w:rsidRDefault="00BC5AE8">
          <w:pPr>
            <w:pStyle w:val="TOC1"/>
            <w:tabs>
              <w:tab w:val="left" w:pos="660"/>
              <w:tab w:val="right" w:leader="dot" w:pos="10194"/>
            </w:tabs>
            <w:rPr>
              <w:rFonts w:eastAsiaTheme="minorEastAsia"/>
              <w:b w:val="0"/>
              <w:bCs w:val="0"/>
              <w:noProof/>
              <w:sz w:val="24"/>
              <w:szCs w:val="24"/>
              <w:lang w:eastAsia="en-GB"/>
            </w:rPr>
          </w:pPr>
          <w:hyperlink w:anchor="_Toc50989014" w:history="1">
            <w:r w:rsidR="00954D84" w:rsidRPr="00845277">
              <w:rPr>
                <w:rStyle w:val="Hyperlink"/>
                <w:rFonts w:ascii="Arial Black" w:hAnsi="Arial Black"/>
                <w:noProof/>
              </w:rPr>
              <w:t>2.</w:t>
            </w:r>
            <w:r w:rsidR="00954D84">
              <w:rPr>
                <w:rFonts w:eastAsiaTheme="minorEastAsia"/>
                <w:b w:val="0"/>
                <w:bCs w:val="0"/>
                <w:noProof/>
                <w:sz w:val="24"/>
                <w:szCs w:val="24"/>
                <w:lang w:eastAsia="en-GB"/>
              </w:rPr>
              <w:tab/>
            </w:r>
            <w:r w:rsidR="00954D84" w:rsidRPr="00845277">
              <w:rPr>
                <w:rStyle w:val="Hyperlink"/>
                <w:rFonts w:ascii="Arial Black" w:hAnsi="Arial Black"/>
                <w:noProof/>
              </w:rPr>
              <w:t>Establishing and conducting the ADC Standing Review</w:t>
            </w:r>
            <w:r w:rsidR="00954D84">
              <w:rPr>
                <w:noProof/>
                <w:webHidden/>
              </w:rPr>
              <w:tab/>
            </w:r>
            <w:r w:rsidR="00954D84">
              <w:rPr>
                <w:noProof/>
                <w:webHidden/>
              </w:rPr>
              <w:fldChar w:fldCharType="begin"/>
            </w:r>
            <w:r w:rsidR="00954D84">
              <w:rPr>
                <w:noProof/>
                <w:webHidden/>
              </w:rPr>
              <w:instrText xml:space="preserve"> PAGEREF _Toc50989014 \h </w:instrText>
            </w:r>
            <w:r w:rsidR="00954D84">
              <w:rPr>
                <w:noProof/>
                <w:webHidden/>
              </w:rPr>
            </w:r>
            <w:r w:rsidR="00954D84">
              <w:rPr>
                <w:noProof/>
                <w:webHidden/>
              </w:rPr>
              <w:fldChar w:fldCharType="separate"/>
            </w:r>
            <w:r w:rsidR="00954D84">
              <w:rPr>
                <w:noProof/>
                <w:webHidden/>
              </w:rPr>
              <w:t>6</w:t>
            </w:r>
            <w:r w:rsidR="00954D84">
              <w:rPr>
                <w:noProof/>
                <w:webHidden/>
              </w:rPr>
              <w:fldChar w:fldCharType="end"/>
            </w:r>
          </w:hyperlink>
        </w:p>
        <w:p w:rsidR="00954D84" w:rsidRDefault="00BC5AE8">
          <w:pPr>
            <w:pStyle w:val="TOC1"/>
            <w:tabs>
              <w:tab w:val="left" w:pos="660"/>
              <w:tab w:val="right" w:leader="dot" w:pos="10194"/>
            </w:tabs>
            <w:rPr>
              <w:rFonts w:eastAsiaTheme="minorEastAsia"/>
              <w:b w:val="0"/>
              <w:bCs w:val="0"/>
              <w:noProof/>
              <w:sz w:val="24"/>
              <w:szCs w:val="24"/>
              <w:lang w:eastAsia="en-GB"/>
            </w:rPr>
          </w:pPr>
          <w:hyperlink w:anchor="_Toc50989015" w:history="1">
            <w:r w:rsidR="00954D84" w:rsidRPr="00845277">
              <w:rPr>
                <w:rStyle w:val="Hyperlink"/>
                <w:rFonts w:ascii="Arial Black" w:hAnsi="Arial Black"/>
                <w:noProof/>
              </w:rPr>
              <w:t>3.</w:t>
            </w:r>
            <w:r w:rsidR="00954D84">
              <w:rPr>
                <w:rFonts w:eastAsiaTheme="minorEastAsia"/>
                <w:b w:val="0"/>
                <w:bCs w:val="0"/>
                <w:noProof/>
                <w:sz w:val="24"/>
                <w:szCs w:val="24"/>
                <w:lang w:eastAsia="en-GB"/>
              </w:rPr>
              <w:tab/>
            </w:r>
            <w:r w:rsidR="00954D84" w:rsidRPr="00845277">
              <w:rPr>
                <w:rStyle w:val="Hyperlink"/>
                <w:rFonts w:ascii="Arial Black" w:hAnsi="Arial Black"/>
                <w:noProof/>
              </w:rPr>
              <w:t>What the ADC wants to know</w:t>
            </w:r>
            <w:r w:rsidR="00954D84">
              <w:rPr>
                <w:noProof/>
                <w:webHidden/>
              </w:rPr>
              <w:tab/>
            </w:r>
            <w:r w:rsidR="00954D84">
              <w:rPr>
                <w:noProof/>
                <w:webHidden/>
              </w:rPr>
              <w:fldChar w:fldCharType="begin"/>
            </w:r>
            <w:r w:rsidR="00954D84">
              <w:rPr>
                <w:noProof/>
                <w:webHidden/>
              </w:rPr>
              <w:instrText xml:space="preserve"> PAGEREF _Toc50989015 \h </w:instrText>
            </w:r>
            <w:r w:rsidR="00954D84">
              <w:rPr>
                <w:noProof/>
                <w:webHidden/>
              </w:rPr>
            </w:r>
            <w:r w:rsidR="00954D84">
              <w:rPr>
                <w:noProof/>
                <w:webHidden/>
              </w:rPr>
              <w:fldChar w:fldCharType="separate"/>
            </w:r>
            <w:r w:rsidR="00954D84">
              <w:rPr>
                <w:noProof/>
                <w:webHidden/>
              </w:rPr>
              <w:t>8</w:t>
            </w:r>
            <w:r w:rsidR="00954D84">
              <w:rPr>
                <w:noProof/>
                <w:webHidden/>
              </w:rPr>
              <w:fldChar w:fldCharType="end"/>
            </w:r>
          </w:hyperlink>
        </w:p>
        <w:p w:rsidR="00954D84" w:rsidRDefault="00BC5AE8">
          <w:pPr>
            <w:pStyle w:val="TOC1"/>
            <w:tabs>
              <w:tab w:val="right" w:leader="dot" w:pos="10194"/>
            </w:tabs>
            <w:rPr>
              <w:rFonts w:eastAsiaTheme="minorEastAsia"/>
              <w:b w:val="0"/>
              <w:bCs w:val="0"/>
              <w:noProof/>
              <w:sz w:val="24"/>
              <w:szCs w:val="24"/>
              <w:lang w:eastAsia="en-GB"/>
            </w:rPr>
          </w:pPr>
          <w:hyperlink w:anchor="_Toc50989016" w:history="1">
            <w:r w:rsidR="00954D84" w:rsidRPr="00845277">
              <w:rPr>
                <w:rStyle w:val="Hyperlink"/>
                <w:rFonts w:ascii="Arial Black" w:hAnsi="Arial Black" w:cs="Arial"/>
                <w:noProof/>
              </w:rPr>
              <w:t>APPENDIX 1</w:t>
            </w:r>
            <w:r w:rsidR="00954D84">
              <w:rPr>
                <w:noProof/>
                <w:webHidden/>
              </w:rPr>
              <w:tab/>
            </w:r>
            <w:r w:rsidR="00954D84">
              <w:rPr>
                <w:noProof/>
                <w:webHidden/>
              </w:rPr>
              <w:fldChar w:fldCharType="begin"/>
            </w:r>
            <w:r w:rsidR="00954D84">
              <w:rPr>
                <w:noProof/>
                <w:webHidden/>
              </w:rPr>
              <w:instrText xml:space="preserve"> PAGEREF _Toc50989016 \h </w:instrText>
            </w:r>
            <w:r w:rsidR="00954D84">
              <w:rPr>
                <w:noProof/>
                <w:webHidden/>
              </w:rPr>
            </w:r>
            <w:r w:rsidR="00954D84">
              <w:rPr>
                <w:noProof/>
                <w:webHidden/>
              </w:rPr>
              <w:fldChar w:fldCharType="separate"/>
            </w:r>
            <w:r w:rsidR="00954D84">
              <w:rPr>
                <w:noProof/>
                <w:webHidden/>
              </w:rPr>
              <w:t>10</w:t>
            </w:r>
            <w:r w:rsidR="00954D84">
              <w:rPr>
                <w:noProof/>
                <w:webHidden/>
              </w:rPr>
              <w:fldChar w:fldCharType="end"/>
            </w:r>
          </w:hyperlink>
        </w:p>
        <w:p w:rsidR="00954D84" w:rsidRDefault="003D3791">
          <w:pPr>
            <w:pStyle w:val="TOC2"/>
            <w:rPr>
              <w:rFonts w:eastAsiaTheme="minorEastAsia" w:cstheme="minorBidi"/>
              <w:b w:val="0"/>
              <w:bCs w:val="0"/>
              <w:i w:val="0"/>
              <w:iCs w:val="0"/>
              <w:lang w:eastAsia="en-GB"/>
            </w:rPr>
          </w:pPr>
          <w:r>
            <w:tab/>
          </w:r>
          <w:hyperlink w:anchor="_Toc50989017" w:history="1">
            <w:r w:rsidR="00954D84" w:rsidRPr="003D3791">
              <w:rPr>
                <w:rStyle w:val="Hyperlink"/>
                <w:rFonts w:ascii="Arial Black" w:hAnsi="Arial Black"/>
                <w:sz w:val="20"/>
                <w:szCs w:val="20"/>
              </w:rPr>
              <w:t>National Disability Strategy governance arrangements</w:t>
            </w:r>
            <w:r w:rsidR="00954D84">
              <w:rPr>
                <w:webHidden/>
              </w:rPr>
              <w:tab/>
            </w:r>
            <w:r w:rsidR="00954D84">
              <w:rPr>
                <w:webHidden/>
              </w:rPr>
              <w:fldChar w:fldCharType="begin"/>
            </w:r>
            <w:r w:rsidR="00954D84">
              <w:rPr>
                <w:webHidden/>
              </w:rPr>
              <w:instrText xml:space="preserve"> PAGEREF _Toc50989017 \h </w:instrText>
            </w:r>
            <w:r w:rsidR="00954D84">
              <w:rPr>
                <w:webHidden/>
              </w:rPr>
            </w:r>
            <w:r w:rsidR="00954D84">
              <w:rPr>
                <w:webHidden/>
              </w:rPr>
              <w:fldChar w:fldCharType="separate"/>
            </w:r>
            <w:r w:rsidR="00954D84">
              <w:rPr>
                <w:webHidden/>
              </w:rPr>
              <w:t>10</w:t>
            </w:r>
            <w:r w:rsidR="00954D84">
              <w:rPr>
                <w:webHidden/>
              </w:rPr>
              <w:fldChar w:fldCharType="end"/>
            </w:r>
          </w:hyperlink>
        </w:p>
        <w:p w:rsidR="00954D84" w:rsidRDefault="003D3791">
          <w:pPr>
            <w:pStyle w:val="TOC2"/>
            <w:rPr>
              <w:rFonts w:eastAsiaTheme="minorEastAsia" w:cstheme="minorBidi"/>
              <w:b w:val="0"/>
              <w:bCs w:val="0"/>
              <w:i w:val="0"/>
              <w:iCs w:val="0"/>
              <w:lang w:eastAsia="en-GB"/>
            </w:rPr>
          </w:pPr>
          <w:r>
            <w:tab/>
          </w:r>
          <w:hyperlink w:anchor="_Toc50989018" w:history="1">
            <w:r w:rsidR="00954D84" w:rsidRPr="003D3791">
              <w:rPr>
                <w:rStyle w:val="Hyperlink"/>
                <w:rFonts w:ascii="Arial Black" w:hAnsi="Arial Black"/>
                <w:sz w:val="20"/>
                <w:szCs w:val="20"/>
              </w:rPr>
              <w:t>Governance in NSW</w:t>
            </w:r>
            <w:r w:rsidR="00954D84">
              <w:rPr>
                <w:webHidden/>
              </w:rPr>
              <w:tab/>
            </w:r>
            <w:r w:rsidR="00954D84">
              <w:rPr>
                <w:webHidden/>
              </w:rPr>
              <w:fldChar w:fldCharType="begin"/>
            </w:r>
            <w:r w:rsidR="00954D84">
              <w:rPr>
                <w:webHidden/>
              </w:rPr>
              <w:instrText xml:space="preserve"> PAGEREF _Toc50989018 \h </w:instrText>
            </w:r>
            <w:r w:rsidR="00954D84">
              <w:rPr>
                <w:webHidden/>
              </w:rPr>
            </w:r>
            <w:r w:rsidR="00954D84">
              <w:rPr>
                <w:webHidden/>
              </w:rPr>
              <w:fldChar w:fldCharType="separate"/>
            </w:r>
            <w:r w:rsidR="00954D84">
              <w:rPr>
                <w:webHidden/>
              </w:rPr>
              <w:t>11</w:t>
            </w:r>
            <w:r w:rsidR="00954D84">
              <w:rPr>
                <w:webHidden/>
              </w:rPr>
              <w:fldChar w:fldCharType="end"/>
            </w:r>
          </w:hyperlink>
        </w:p>
        <w:p w:rsidR="00954D84" w:rsidRDefault="00BC5AE8">
          <w:pPr>
            <w:pStyle w:val="TOC1"/>
            <w:tabs>
              <w:tab w:val="right" w:leader="dot" w:pos="10194"/>
            </w:tabs>
            <w:rPr>
              <w:rFonts w:eastAsiaTheme="minorEastAsia"/>
              <w:b w:val="0"/>
              <w:bCs w:val="0"/>
              <w:noProof/>
              <w:sz w:val="24"/>
              <w:szCs w:val="24"/>
              <w:lang w:eastAsia="en-GB"/>
            </w:rPr>
          </w:pPr>
          <w:hyperlink w:anchor="_Toc50989019" w:history="1">
            <w:r w:rsidR="00954D84" w:rsidRPr="00845277">
              <w:rPr>
                <w:rStyle w:val="Hyperlink"/>
                <w:rFonts w:ascii="Arial Black" w:hAnsi="Arial Black"/>
                <w:noProof/>
              </w:rPr>
              <w:t>APPENDIX 2</w:t>
            </w:r>
            <w:r w:rsidR="00954D84">
              <w:rPr>
                <w:noProof/>
                <w:webHidden/>
              </w:rPr>
              <w:tab/>
            </w:r>
            <w:r w:rsidR="00954D84">
              <w:rPr>
                <w:noProof/>
                <w:webHidden/>
              </w:rPr>
              <w:fldChar w:fldCharType="begin"/>
            </w:r>
            <w:r w:rsidR="00954D84">
              <w:rPr>
                <w:noProof/>
                <w:webHidden/>
              </w:rPr>
              <w:instrText xml:space="preserve"> PAGEREF _Toc50989019 \h </w:instrText>
            </w:r>
            <w:r w:rsidR="00954D84">
              <w:rPr>
                <w:noProof/>
                <w:webHidden/>
              </w:rPr>
            </w:r>
            <w:r w:rsidR="00954D84">
              <w:rPr>
                <w:noProof/>
                <w:webHidden/>
              </w:rPr>
              <w:fldChar w:fldCharType="separate"/>
            </w:r>
            <w:r w:rsidR="00954D84">
              <w:rPr>
                <w:noProof/>
                <w:webHidden/>
              </w:rPr>
              <w:t>12</w:t>
            </w:r>
            <w:r w:rsidR="00954D84">
              <w:rPr>
                <w:noProof/>
                <w:webHidden/>
              </w:rPr>
              <w:fldChar w:fldCharType="end"/>
            </w:r>
          </w:hyperlink>
        </w:p>
        <w:p w:rsidR="00954D84" w:rsidRDefault="003D3791">
          <w:pPr>
            <w:pStyle w:val="TOC2"/>
            <w:rPr>
              <w:rFonts w:eastAsiaTheme="minorEastAsia" w:cstheme="minorBidi"/>
              <w:b w:val="0"/>
              <w:bCs w:val="0"/>
              <w:i w:val="0"/>
              <w:iCs w:val="0"/>
              <w:lang w:eastAsia="en-GB"/>
            </w:rPr>
          </w:pPr>
          <w:r>
            <w:tab/>
          </w:r>
          <w:hyperlink w:anchor="_Toc50989020" w:history="1">
            <w:r w:rsidR="00954D84" w:rsidRPr="003D3791">
              <w:rPr>
                <w:rStyle w:val="Hyperlink"/>
                <w:rFonts w:ascii="Arial Black" w:hAnsi="Arial Black"/>
                <w:sz w:val="20"/>
                <w:szCs w:val="20"/>
              </w:rPr>
              <w:t>Other related initiatives &amp; indicators</w:t>
            </w:r>
            <w:r w:rsidR="00954D84">
              <w:rPr>
                <w:webHidden/>
              </w:rPr>
              <w:tab/>
            </w:r>
            <w:r w:rsidR="00954D84">
              <w:rPr>
                <w:webHidden/>
              </w:rPr>
              <w:fldChar w:fldCharType="begin"/>
            </w:r>
            <w:r w:rsidR="00954D84">
              <w:rPr>
                <w:webHidden/>
              </w:rPr>
              <w:instrText xml:space="preserve"> PAGEREF _Toc50989020 \h </w:instrText>
            </w:r>
            <w:r w:rsidR="00954D84">
              <w:rPr>
                <w:webHidden/>
              </w:rPr>
            </w:r>
            <w:r w:rsidR="00954D84">
              <w:rPr>
                <w:webHidden/>
              </w:rPr>
              <w:fldChar w:fldCharType="separate"/>
            </w:r>
            <w:r w:rsidR="00954D84">
              <w:rPr>
                <w:webHidden/>
              </w:rPr>
              <w:t>12</w:t>
            </w:r>
            <w:r w:rsidR="00954D84">
              <w:rPr>
                <w:webHidden/>
              </w:rPr>
              <w:fldChar w:fldCharType="end"/>
            </w:r>
          </w:hyperlink>
        </w:p>
        <w:p w:rsidR="00954D84" w:rsidRDefault="00BC5AE8">
          <w:pPr>
            <w:pStyle w:val="TOC1"/>
            <w:tabs>
              <w:tab w:val="right" w:leader="dot" w:pos="10194"/>
            </w:tabs>
            <w:rPr>
              <w:rFonts w:eastAsiaTheme="minorEastAsia"/>
              <w:b w:val="0"/>
              <w:bCs w:val="0"/>
              <w:noProof/>
              <w:sz w:val="24"/>
              <w:szCs w:val="24"/>
              <w:lang w:eastAsia="en-GB"/>
            </w:rPr>
          </w:pPr>
          <w:hyperlink w:anchor="_Toc50989021" w:history="1">
            <w:r w:rsidR="00954D84" w:rsidRPr="00845277">
              <w:rPr>
                <w:rStyle w:val="Hyperlink"/>
                <w:rFonts w:ascii="Arial Black" w:hAnsi="Arial Black"/>
                <w:noProof/>
              </w:rPr>
              <w:t>APPENDIX 3</w:t>
            </w:r>
            <w:r w:rsidR="00954D84">
              <w:rPr>
                <w:noProof/>
                <w:webHidden/>
              </w:rPr>
              <w:tab/>
            </w:r>
            <w:r w:rsidR="00954D84">
              <w:rPr>
                <w:noProof/>
                <w:webHidden/>
              </w:rPr>
              <w:fldChar w:fldCharType="begin"/>
            </w:r>
            <w:r w:rsidR="00954D84">
              <w:rPr>
                <w:noProof/>
                <w:webHidden/>
              </w:rPr>
              <w:instrText xml:space="preserve"> PAGEREF _Toc50989021 \h </w:instrText>
            </w:r>
            <w:r w:rsidR="00954D84">
              <w:rPr>
                <w:noProof/>
                <w:webHidden/>
              </w:rPr>
            </w:r>
            <w:r w:rsidR="00954D84">
              <w:rPr>
                <w:noProof/>
                <w:webHidden/>
              </w:rPr>
              <w:fldChar w:fldCharType="separate"/>
            </w:r>
            <w:r w:rsidR="00954D84">
              <w:rPr>
                <w:noProof/>
                <w:webHidden/>
              </w:rPr>
              <w:t>15</w:t>
            </w:r>
            <w:r w:rsidR="00954D84">
              <w:rPr>
                <w:noProof/>
                <w:webHidden/>
              </w:rPr>
              <w:fldChar w:fldCharType="end"/>
            </w:r>
          </w:hyperlink>
        </w:p>
        <w:p w:rsidR="00954D84" w:rsidRDefault="003D3791">
          <w:pPr>
            <w:pStyle w:val="TOC2"/>
            <w:rPr>
              <w:rFonts w:eastAsiaTheme="minorEastAsia" w:cstheme="minorBidi"/>
              <w:b w:val="0"/>
              <w:bCs w:val="0"/>
              <w:i w:val="0"/>
              <w:iCs w:val="0"/>
              <w:lang w:eastAsia="en-GB"/>
            </w:rPr>
          </w:pPr>
          <w:r>
            <w:tab/>
          </w:r>
          <w:hyperlink w:anchor="_Toc50989022" w:history="1">
            <w:r w:rsidR="00954D84" w:rsidRPr="003D3791">
              <w:rPr>
                <w:rStyle w:val="Hyperlink"/>
                <w:rFonts w:ascii="Arial Black" w:hAnsi="Arial Black"/>
                <w:sz w:val="20"/>
                <w:szCs w:val="20"/>
              </w:rPr>
              <w:t>Key reports</w:t>
            </w:r>
            <w:r w:rsidR="00954D84">
              <w:rPr>
                <w:webHidden/>
              </w:rPr>
              <w:tab/>
            </w:r>
            <w:r w:rsidR="00954D84">
              <w:rPr>
                <w:webHidden/>
              </w:rPr>
              <w:fldChar w:fldCharType="begin"/>
            </w:r>
            <w:r w:rsidR="00954D84">
              <w:rPr>
                <w:webHidden/>
              </w:rPr>
              <w:instrText xml:space="preserve"> PAGEREF _Toc50989022 \h </w:instrText>
            </w:r>
            <w:r w:rsidR="00954D84">
              <w:rPr>
                <w:webHidden/>
              </w:rPr>
            </w:r>
            <w:r w:rsidR="00954D84">
              <w:rPr>
                <w:webHidden/>
              </w:rPr>
              <w:fldChar w:fldCharType="separate"/>
            </w:r>
            <w:r w:rsidR="00954D84">
              <w:rPr>
                <w:webHidden/>
              </w:rPr>
              <w:t>15</w:t>
            </w:r>
            <w:r w:rsidR="00954D84">
              <w:rPr>
                <w:webHidden/>
              </w:rPr>
              <w:fldChar w:fldCharType="end"/>
            </w:r>
          </w:hyperlink>
        </w:p>
        <w:p w:rsidR="00954D84" w:rsidRDefault="00BC5AE8">
          <w:pPr>
            <w:pStyle w:val="TOC1"/>
            <w:tabs>
              <w:tab w:val="right" w:leader="dot" w:pos="10194"/>
            </w:tabs>
            <w:rPr>
              <w:rFonts w:eastAsiaTheme="minorEastAsia"/>
              <w:b w:val="0"/>
              <w:bCs w:val="0"/>
              <w:noProof/>
              <w:sz w:val="24"/>
              <w:szCs w:val="24"/>
              <w:lang w:eastAsia="en-GB"/>
            </w:rPr>
          </w:pPr>
          <w:hyperlink w:anchor="_Toc50989023" w:history="1">
            <w:r w:rsidR="00954D84" w:rsidRPr="00845277">
              <w:rPr>
                <w:rStyle w:val="Hyperlink"/>
                <w:rFonts w:ascii="Arial Black" w:hAnsi="Arial Black"/>
                <w:noProof/>
              </w:rPr>
              <w:t>APPENDIX 4</w:t>
            </w:r>
            <w:r w:rsidR="00954D84">
              <w:rPr>
                <w:noProof/>
                <w:webHidden/>
              </w:rPr>
              <w:tab/>
            </w:r>
            <w:r w:rsidR="00954D84">
              <w:rPr>
                <w:noProof/>
                <w:webHidden/>
              </w:rPr>
              <w:fldChar w:fldCharType="begin"/>
            </w:r>
            <w:r w:rsidR="00954D84">
              <w:rPr>
                <w:noProof/>
                <w:webHidden/>
              </w:rPr>
              <w:instrText xml:space="preserve"> PAGEREF _Toc50989023 \h </w:instrText>
            </w:r>
            <w:r w:rsidR="00954D84">
              <w:rPr>
                <w:noProof/>
                <w:webHidden/>
              </w:rPr>
            </w:r>
            <w:r w:rsidR="00954D84">
              <w:rPr>
                <w:noProof/>
                <w:webHidden/>
              </w:rPr>
              <w:fldChar w:fldCharType="separate"/>
            </w:r>
            <w:r w:rsidR="00954D84">
              <w:rPr>
                <w:noProof/>
                <w:webHidden/>
              </w:rPr>
              <w:t>18</w:t>
            </w:r>
            <w:r w:rsidR="00954D84">
              <w:rPr>
                <w:noProof/>
                <w:webHidden/>
              </w:rPr>
              <w:fldChar w:fldCharType="end"/>
            </w:r>
          </w:hyperlink>
        </w:p>
        <w:p w:rsidR="00954D84" w:rsidRDefault="003D3791">
          <w:pPr>
            <w:pStyle w:val="TOC2"/>
            <w:rPr>
              <w:rFonts w:eastAsiaTheme="minorEastAsia" w:cstheme="minorBidi"/>
              <w:b w:val="0"/>
              <w:bCs w:val="0"/>
              <w:i w:val="0"/>
              <w:iCs w:val="0"/>
              <w:lang w:eastAsia="en-GB"/>
            </w:rPr>
          </w:pPr>
          <w:r>
            <w:tab/>
          </w:r>
          <w:hyperlink w:anchor="_Toc50989024" w:history="1">
            <w:r w:rsidR="00954D84" w:rsidRPr="003D3791">
              <w:rPr>
                <w:rStyle w:val="Hyperlink"/>
                <w:rFonts w:ascii="Arial Black" w:hAnsi="Arial Black"/>
                <w:sz w:val="20"/>
                <w:szCs w:val="20"/>
              </w:rPr>
              <w:t>The next Strategy</w:t>
            </w:r>
            <w:r w:rsidR="00954D84">
              <w:rPr>
                <w:webHidden/>
              </w:rPr>
              <w:tab/>
            </w:r>
            <w:r w:rsidR="00954D84">
              <w:rPr>
                <w:webHidden/>
              </w:rPr>
              <w:fldChar w:fldCharType="begin"/>
            </w:r>
            <w:r w:rsidR="00954D84">
              <w:rPr>
                <w:webHidden/>
              </w:rPr>
              <w:instrText xml:space="preserve"> PAGEREF _Toc50989024 \h </w:instrText>
            </w:r>
            <w:r w:rsidR="00954D84">
              <w:rPr>
                <w:webHidden/>
              </w:rPr>
            </w:r>
            <w:r w:rsidR="00954D84">
              <w:rPr>
                <w:webHidden/>
              </w:rPr>
              <w:fldChar w:fldCharType="separate"/>
            </w:r>
            <w:r w:rsidR="00954D84">
              <w:rPr>
                <w:webHidden/>
              </w:rPr>
              <w:t>18</w:t>
            </w:r>
            <w:r w:rsidR="00954D84">
              <w:rPr>
                <w:webHidden/>
              </w:rPr>
              <w:fldChar w:fldCharType="end"/>
            </w:r>
          </w:hyperlink>
        </w:p>
        <w:p w:rsidR="004C0308" w:rsidRPr="004C0308" w:rsidRDefault="005F6220" w:rsidP="00A2519B">
          <w:pPr>
            <w:pStyle w:val="TOC2"/>
          </w:pPr>
          <w:r w:rsidRPr="00A2519B">
            <w:rPr>
              <w:rFonts w:ascii="Arial Black" w:hAnsi="Arial Black"/>
              <w:b w:val="0"/>
              <w:bCs w:val="0"/>
              <w:sz w:val="20"/>
              <w:szCs w:val="20"/>
            </w:rPr>
            <w:fldChar w:fldCharType="end"/>
          </w:r>
        </w:p>
      </w:sdtContent>
    </w:sdt>
    <w:p w:rsidR="004C0308" w:rsidRDefault="004C0308">
      <w:pPr>
        <w:rPr>
          <w:rFonts w:ascii="Arial Black" w:eastAsiaTheme="majorEastAsia" w:hAnsi="Arial Black" w:cstheme="majorBidi"/>
          <w:color w:val="002060"/>
          <w:sz w:val="40"/>
          <w:szCs w:val="40"/>
        </w:rPr>
      </w:pPr>
      <w:r>
        <w:rPr>
          <w:rFonts w:ascii="Arial Black" w:hAnsi="Arial Black"/>
          <w:color w:val="002060"/>
          <w:sz w:val="40"/>
          <w:szCs w:val="40"/>
        </w:rPr>
        <w:br w:type="page"/>
      </w:r>
    </w:p>
    <w:p w:rsidR="001440C2" w:rsidRPr="00954D84" w:rsidRDefault="001440C2" w:rsidP="009505D2">
      <w:pPr>
        <w:pStyle w:val="Heading1"/>
        <w:numPr>
          <w:ilvl w:val="0"/>
          <w:numId w:val="36"/>
        </w:numPr>
        <w:rPr>
          <w:rFonts w:ascii="Arial Black" w:hAnsi="Arial Black"/>
          <w:b/>
          <w:bCs/>
          <w:sz w:val="40"/>
          <w:szCs w:val="40"/>
        </w:rPr>
      </w:pPr>
      <w:bookmarkStart w:id="1" w:name="_Toc50989012"/>
      <w:r w:rsidRPr="00954D84">
        <w:rPr>
          <w:rFonts w:ascii="Arial Black" w:hAnsi="Arial Black"/>
          <w:b/>
          <w:bCs/>
          <w:sz w:val="40"/>
          <w:szCs w:val="40"/>
        </w:rPr>
        <w:lastRenderedPageBreak/>
        <w:t>INTRODUCTION</w:t>
      </w:r>
      <w:bookmarkEnd w:id="1"/>
    </w:p>
    <w:p w:rsidR="007D7C72" w:rsidRDefault="007D7C72">
      <w:pPr>
        <w:spacing w:after="0" w:line="276" w:lineRule="auto"/>
        <w:rPr>
          <w:rFonts w:ascii="Calibri" w:eastAsia="Times New Roman" w:hAnsi="Calibri" w:cs="Arial"/>
          <w:sz w:val="24"/>
          <w:szCs w:val="24"/>
          <w:lang w:eastAsia="en-GB"/>
        </w:rPr>
      </w:pPr>
    </w:p>
    <w:p w:rsidR="00C43807" w:rsidRDefault="00C43807">
      <w:pPr>
        <w:spacing w:after="0" w:line="276"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The NSW Ageing and Disability Commission (ADC) is an independent statutory body that commenced on 1 July 2019, with the objects of protecting adults with disability and older people from abuse, neglect and exploitation, and protecting and promoting their rights. </w:t>
      </w:r>
    </w:p>
    <w:p w:rsidR="00C43807" w:rsidRDefault="00C43807">
      <w:pPr>
        <w:spacing w:after="0" w:line="276" w:lineRule="auto"/>
        <w:rPr>
          <w:rFonts w:ascii="Calibri" w:eastAsia="Times New Roman" w:hAnsi="Calibri" w:cs="Arial"/>
          <w:sz w:val="24"/>
          <w:szCs w:val="24"/>
          <w:lang w:eastAsia="en-GB"/>
        </w:rPr>
      </w:pPr>
    </w:p>
    <w:p w:rsidR="00166E55" w:rsidRDefault="00C43807">
      <w:pPr>
        <w:spacing w:after="0" w:line="276" w:lineRule="auto"/>
        <w:rPr>
          <w:rFonts w:ascii="Calibri" w:eastAsia="Times New Roman" w:hAnsi="Calibri" w:cs="Arial"/>
          <w:bCs/>
          <w:sz w:val="24"/>
          <w:szCs w:val="24"/>
          <w:lang w:eastAsia="en-GB"/>
        </w:rPr>
      </w:pPr>
      <w:r>
        <w:rPr>
          <w:rFonts w:ascii="Calibri" w:eastAsia="Times New Roman" w:hAnsi="Calibri" w:cs="Arial"/>
          <w:sz w:val="24"/>
          <w:szCs w:val="24"/>
          <w:lang w:eastAsia="en-GB"/>
        </w:rPr>
        <w:t xml:space="preserve">One of the functions of the ADC under the </w:t>
      </w:r>
      <w:hyperlink r:id="rId9" w:anchor="/view/act/2019/7/whole" w:history="1">
        <w:r w:rsidR="00877335" w:rsidRPr="004C0308">
          <w:rPr>
            <w:rFonts w:ascii="Calibri" w:eastAsia="Times New Roman" w:hAnsi="Calibri" w:cs="Arial"/>
            <w:bCs/>
            <w:i/>
            <w:iCs/>
            <w:color w:val="0000FF"/>
            <w:sz w:val="24"/>
            <w:szCs w:val="24"/>
            <w:u w:val="single"/>
          </w:rPr>
          <w:t>Ageing and Disability Commissioner Act 2019</w:t>
        </w:r>
      </w:hyperlink>
      <w:r w:rsidR="00877335" w:rsidRPr="004C0308">
        <w:rPr>
          <w:rFonts w:ascii="Calibri" w:eastAsia="Times New Roman" w:hAnsi="Calibri" w:cs="Arial"/>
          <w:bCs/>
          <w:sz w:val="24"/>
          <w:szCs w:val="24"/>
          <w:lang w:eastAsia="en-GB"/>
        </w:rPr>
        <w:t xml:space="preserve"> (the </w:t>
      </w:r>
      <w:r w:rsidR="008D40F4">
        <w:rPr>
          <w:rFonts w:ascii="Calibri" w:eastAsia="Times New Roman" w:hAnsi="Calibri" w:cs="Arial"/>
          <w:bCs/>
          <w:sz w:val="24"/>
          <w:szCs w:val="24"/>
          <w:lang w:eastAsia="en-GB"/>
        </w:rPr>
        <w:t xml:space="preserve">ADC </w:t>
      </w:r>
      <w:r w:rsidR="00877335" w:rsidRPr="004C0308">
        <w:rPr>
          <w:rFonts w:ascii="Calibri" w:eastAsia="Times New Roman" w:hAnsi="Calibri" w:cs="Arial"/>
          <w:bCs/>
          <w:sz w:val="24"/>
          <w:szCs w:val="24"/>
          <w:lang w:eastAsia="en-GB"/>
        </w:rPr>
        <w:t>Act)</w:t>
      </w:r>
      <w:r w:rsidR="00166E55">
        <w:rPr>
          <w:rFonts w:ascii="Calibri" w:eastAsia="Times New Roman" w:hAnsi="Calibri" w:cs="Arial"/>
          <w:bCs/>
          <w:sz w:val="24"/>
          <w:szCs w:val="24"/>
          <w:lang w:eastAsia="en-GB"/>
        </w:rPr>
        <w:t xml:space="preserve"> </w:t>
      </w:r>
      <w:r>
        <w:rPr>
          <w:rFonts w:ascii="Calibri" w:eastAsia="Times New Roman" w:hAnsi="Calibri" w:cs="Arial"/>
          <w:bCs/>
          <w:sz w:val="24"/>
          <w:szCs w:val="24"/>
          <w:lang w:eastAsia="en-GB"/>
        </w:rPr>
        <w:t>is to ‘</w:t>
      </w:r>
      <w:r w:rsidR="00877335">
        <w:rPr>
          <w:rFonts w:ascii="Calibri" w:eastAsia="Times New Roman" w:hAnsi="Calibri" w:cs="Arial"/>
          <w:bCs/>
          <w:sz w:val="24"/>
          <w:szCs w:val="24"/>
          <w:lang w:eastAsia="en-GB"/>
        </w:rPr>
        <w:t>monitor, assess and report’ on the implementation of the National Disability Strategy (</w:t>
      </w:r>
      <w:r w:rsidR="008E0E45">
        <w:rPr>
          <w:rFonts w:ascii="Calibri" w:eastAsia="Times New Roman" w:hAnsi="Calibri" w:cs="Arial"/>
          <w:bCs/>
          <w:sz w:val="24"/>
          <w:szCs w:val="24"/>
          <w:lang w:eastAsia="en-GB"/>
        </w:rPr>
        <w:t>the Strategy</w:t>
      </w:r>
      <w:r w:rsidR="007D7C72">
        <w:rPr>
          <w:rFonts w:ascii="Calibri" w:eastAsia="Times New Roman" w:hAnsi="Calibri" w:cs="Arial"/>
          <w:bCs/>
          <w:sz w:val="24"/>
          <w:szCs w:val="24"/>
          <w:lang w:eastAsia="en-GB"/>
        </w:rPr>
        <w:t>) in NSW</w:t>
      </w:r>
      <w:r w:rsidR="00AF03C6">
        <w:rPr>
          <w:rFonts w:ascii="Calibri" w:eastAsia="Times New Roman" w:hAnsi="Calibri" w:cs="Arial"/>
          <w:bCs/>
          <w:sz w:val="24"/>
          <w:szCs w:val="24"/>
          <w:lang w:eastAsia="en-GB"/>
        </w:rPr>
        <w:t>.</w:t>
      </w:r>
      <w:r w:rsidR="00AF03C6">
        <w:rPr>
          <w:rStyle w:val="FootnoteReference"/>
          <w:rFonts w:ascii="Calibri" w:eastAsia="Times New Roman" w:hAnsi="Calibri" w:cs="Arial"/>
          <w:bCs/>
          <w:sz w:val="24"/>
          <w:szCs w:val="24"/>
          <w:lang w:eastAsia="en-GB"/>
        </w:rPr>
        <w:footnoteReference w:id="1"/>
      </w:r>
    </w:p>
    <w:p w:rsidR="00166E55" w:rsidRDefault="00166E55">
      <w:pPr>
        <w:spacing w:after="0" w:line="276" w:lineRule="auto"/>
        <w:rPr>
          <w:rFonts w:ascii="Calibri" w:eastAsia="Times New Roman" w:hAnsi="Calibri" w:cs="Arial"/>
          <w:bCs/>
          <w:sz w:val="24"/>
          <w:szCs w:val="24"/>
          <w:lang w:eastAsia="en-GB"/>
        </w:rPr>
      </w:pPr>
    </w:p>
    <w:p w:rsidR="003C185D" w:rsidRPr="004C0308" w:rsidRDefault="0087514E" w:rsidP="005440E3">
      <w:pPr>
        <w:spacing w:after="0" w:line="276" w:lineRule="auto"/>
        <w:rPr>
          <w:sz w:val="24"/>
          <w:szCs w:val="24"/>
        </w:rPr>
      </w:pPr>
      <w:r>
        <w:rPr>
          <w:rFonts w:ascii="Calibri" w:hAnsi="Calibri" w:cs="Calibri"/>
          <w:sz w:val="24"/>
          <w:szCs w:val="24"/>
        </w:rPr>
        <w:t xml:space="preserve">The ADC proposes to fulfil this function by </w:t>
      </w:r>
      <w:r w:rsidR="00E76494">
        <w:rPr>
          <w:rFonts w:ascii="Calibri" w:hAnsi="Calibri" w:cs="Calibri"/>
          <w:sz w:val="24"/>
          <w:szCs w:val="24"/>
        </w:rPr>
        <w:t>undertaking</w:t>
      </w:r>
      <w:r>
        <w:rPr>
          <w:rFonts w:ascii="Calibri" w:hAnsi="Calibri" w:cs="Calibri"/>
          <w:sz w:val="24"/>
          <w:szCs w:val="24"/>
        </w:rPr>
        <w:t xml:space="preserve"> a Standing Review</w:t>
      </w:r>
      <w:r w:rsidR="00435BA0">
        <w:rPr>
          <w:rFonts w:ascii="Calibri" w:hAnsi="Calibri" w:cs="Calibri"/>
          <w:sz w:val="24"/>
          <w:szCs w:val="24"/>
        </w:rPr>
        <w:t xml:space="preserve">. </w:t>
      </w:r>
      <w:r>
        <w:rPr>
          <w:rFonts w:ascii="Calibri" w:hAnsi="Calibri" w:cs="Calibri"/>
          <w:sz w:val="24"/>
          <w:szCs w:val="24"/>
        </w:rPr>
        <w:t xml:space="preserve">This </w:t>
      </w:r>
      <w:r w:rsidR="00D245D5" w:rsidRPr="004C0308">
        <w:rPr>
          <w:rFonts w:ascii="Calibri" w:hAnsi="Calibri" w:cs="Calibri"/>
          <w:sz w:val="24"/>
          <w:szCs w:val="24"/>
        </w:rPr>
        <w:t>position paper provides an outline o</w:t>
      </w:r>
      <w:r w:rsidR="00877335">
        <w:rPr>
          <w:rFonts w:ascii="Calibri" w:hAnsi="Calibri" w:cs="Calibri"/>
          <w:sz w:val="24"/>
          <w:szCs w:val="24"/>
        </w:rPr>
        <w:t>f</w:t>
      </w:r>
      <w:r w:rsidR="00D245D5" w:rsidRPr="004C0308">
        <w:rPr>
          <w:rFonts w:ascii="Calibri" w:hAnsi="Calibri" w:cs="Calibri"/>
          <w:sz w:val="24"/>
          <w:szCs w:val="24"/>
        </w:rPr>
        <w:t xml:space="preserve"> </w:t>
      </w:r>
      <w:r w:rsidR="00D245D5" w:rsidRPr="004C0308">
        <w:rPr>
          <w:rFonts w:ascii="Calibri" w:eastAsia="Times New Roman" w:hAnsi="Calibri" w:cs="Arial"/>
          <w:sz w:val="24"/>
          <w:szCs w:val="24"/>
          <w:lang w:eastAsia="en-GB"/>
        </w:rPr>
        <w:t>the</w:t>
      </w:r>
      <w:r w:rsidR="00877335">
        <w:rPr>
          <w:rFonts w:ascii="Calibri" w:eastAsia="Times New Roman" w:hAnsi="Calibri" w:cs="Arial"/>
          <w:sz w:val="24"/>
          <w:szCs w:val="24"/>
          <w:lang w:eastAsia="en-GB"/>
        </w:rPr>
        <w:t xml:space="preserve"> Standing </w:t>
      </w:r>
      <w:r w:rsidR="00877335" w:rsidRPr="00FA3268">
        <w:rPr>
          <w:rFonts w:ascii="Calibri" w:eastAsia="Times New Roman" w:hAnsi="Calibri" w:cs="Arial"/>
          <w:sz w:val="24"/>
          <w:szCs w:val="24"/>
          <w:lang w:eastAsia="en-GB"/>
        </w:rPr>
        <w:t>Review</w:t>
      </w:r>
      <w:r w:rsidRPr="00835FC0">
        <w:rPr>
          <w:rFonts w:ascii="Calibri" w:eastAsia="Times New Roman" w:hAnsi="Calibri" w:cs="Arial"/>
          <w:sz w:val="24"/>
          <w:szCs w:val="24"/>
          <w:lang w:eastAsia="en-GB"/>
        </w:rPr>
        <w:t>, and seeks</w:t>
      </w:r>
      <w:r>
        <w:rPr>
          <w:rFonts w:ascii="Calibri" w:eastAsia="Times New Roman" w:hAnsi="Calibri" w:cs="Arial"/>
          <w:sz w:val="24"/>
          <w:szCs w:val="24"/>
          <w:lang w:eastAsia="en-GB"/>
        </w:rPr>
        <w:t xml:space="preserve"> feedback and</w:t>
      </w:r>
      <w:r w:rsidR="00166E55">
        <w:rPr>
          <w:rFonts w:ascii="Calibri" w:eastAsia="Times New Roman" w:hAnsi="Calibri" w:cs="Arial"/>
          <w:sz w:val="24"/>
          <w:szCs w:val="24"/>
          <w:lang w:eastAsia="en-GB"/>
        </w:rPr>
        <w:t xml:space="preserve"> comments from key stakeholders</w:t>
      </w:r>
      <w:r>
        <w:rPr>
          <w:rFonts w:ascii="Calibri" w:eastAsia="Times New Roman" w:hAnsi="Calibri" w:cs="Arial"/>
          <w:sz w:val="24"/>
          <w:szCs w:val="24"/>
          <w:lang w:eastAsia="en-GB"/>
        </w:rPr>
        <w:t xml:space="preserve"> on the proposed work</w:t>
      </w:r>
      <w:r w:rsidR="00166E55">
        <w:rPr>
          <w:rFonts w:ascii="Calibri" w:eastAsia="Times New Roman" w:hAnsi="Calibri" w:cs="Arial"/>
          <w:sz w:val="24"/>
          <w:szCs w:val="24"/>
          <w:lang w:eastAsia="en-GB"/>
        </w:rPr>
        <w:t>.</w:t>
      </w:r>
      <w:r w:rsidR="005440E3" w:rsidRPr="004C0308">
        <w:rPr>
          <w:sz w:val="24"/>
          <w:szCs w:val="24"/>
        </w:rPr>
        <w:t xml:space="preserve"> </w:t>
      </w:r>
    </w:p>
    <w:p w:rsidR="003C185D" w:rsidRPr="0098142C" w:rsidRDefault="003C185D">
      <w:pPr>
        <w:spacing w:after="60" w:line="276" w:lineRule="auto"/>
        <w:rPr>
          <w:sz w:val="24"/>
          <w:szCs w:val="24"/>
        </w:rPr>
      </w:pPr>
      <w:r w:rsidRPr="0098142C">
        <w:rPr>
          <w:sz w:val="24"/>
          <w:szCs w:val="24"/>
        </w:rPr>
        <w:t>This position paper will be:</w:t>
      </w:r>
    </w:p>
    <w:p w:rsidR="003C185D" w:rsidRPr="0098142C" w:rsidRDefault="00BC5AE8" w:rsidP="009505D2">
      <w:pPr>
        <w:pStyle w:val="ListParagraph"/>
        <w:numPr>
          <w:ilvl w:val="0"/>
          <w:numId w:val="35"/>
        </w:numPr>
        <w:spacing w:after="60" w:line="276" w:lineRule="auto"/>
        <w:ind w:left="360"/>
        <w:rPr>
          <w:sz w:val="24"/>
          <w:szCs w:val="24"/>
        </w:rPr>
      </w:pPr>
      <w:hyperlink r:id="rId10" w:history="1">
        <w:r w:rsidR="003C185D" w:rsidRPr="004148D7">
          <w:rPr>
            <w:rStyle w:val="Hyperlink"/>
            <w:sz w:val="24"/>
            <w:szCs w:val="24"/>
          </w:rPr>
          <w:t>available on the ADC website</w:t>
        </w:r>
      </w:hyperlink>
      <w:r w:rsidR="003C185D" w:rsidRPr="0098142C">
        <w:rPr>
          <w:sz w:val="24"/>
          <w:szCs w:val="24"/>
        </w:rPr>
        <w:t xml:space="preserve"> </w:t>
      </w:r>
    </w:p>
    <w:p w:rsidR="00000A28" w:rsidRDefault="003C185D" w:rsidP="009505D2">
      <w:pPr>
        <w:pStyle w:val="ListParagraph"/>
        <w:numPr>
          <w:ilvl w:val="0"/>
          <w:numId w:val="35"/>
        </w:numPr>
        <w:spacing w:after="60" w:line="276" w:lineRule="auto"/>
        <w:ind w:left="360"/>
        <w:rPr>
          <w:sz w:val="24"/>
          <w:szCs w:val="24"/>
        </w:rPr>
      </w:pPr>
      <w:r w:rsidRPr="0098142C">
        <w:rPr>
          <w:sz w:val="24"/>
          <w:szCs w:val="24"/>
        </w:rPr>
        <w:t>distributed to the disability sector</w:t>
      </w:r>
      <w:r w:rsidR="009F7488">
        <w:rPr>
          <w:sz w:val="24"/>
          <w:szCs w:val="24"/>
        </w:rPr>
        <w:t xml:space="preserve"> and other interested parties</w:t>
      </w:r>
    </w:p>
    <w:p w:rsidR="003C185D" w:rsidRPr="00B141D1" w:rsidRDefault="00000A28" w:rsidP="009505D2">
      <w:pPr>
        <w:pStyle w:val="ListParagraph"/>
        <w:numPr>
          <w:ilvl w:val="0"/>
          <w:numId w:val="35"/>
        </w:numPr>
        <w:spacing w:after="60" w:line="276" w:lineRule="auto"/>
        <w:ind w:left="360"/>
        <w:rPr>
          <w:sz w:val="24"/>
          <w:szCs w:val="24"/>
        </w:rPr>
      </w:pPr>
      <w:r w:rsidRPr="00B141D1">
        <w:rPr>
          <w:sz w:val="24"/>
          <w:szCs w:val="24"/>
        </w:rPr>
        <w:t>W</w:t>
      </w:r>
      <w:r w:rsidR="003C185D" w:rsidRPr="00B141D1">
        <w:rPr>
          <w:sz w:val="24"/>
          <w:szCs w:val="24"/>
        </w:rPr>
        <w:t xml:space="preserve">ritten submissions will be accepted up to </w:t>
      </w:r>
      <w:r w:rsidR="00234FFB">
        <w:rPr>
          <w:sz w:val="24"/>
          <w:szCs w:val="24"/>
        </w:rPr>
        <w:t>Friday 30</w:t>
      </w:r>
      <w:r w:rsidR="00234FFB" w:rsidRPr="00234FFB">
        <w:rPr>
          <w:sz w:val="24"/>
          <w:szCs w:val="24"/>
          <w:vertAlign w:val="superscript"/>
        </w:rPr>
        <w:t>th</w:t>
      </w:r>
      <w:r w:rsidR="00234FFB">
        <w:rPr>
          <w:sz w:val="24"/>
          <w:szCs w:val="24"/>
        </w:rPr>
        <w:t xml:space="preserve"> October</w:t>
      </w:r>
      <w:r w:rsidR="003C185D" w:rsidRPr="00B141D1">
        <w:rPr>
          <w:sz w:val="24"/>
          <w:szCs w:val="24"/>
        </w:rPr>
        <w:t xml:space="preserve">.  </w:t>
      </w:r>
      <w:r w:rsidR="006766A0" w:rsidRPr="00B141D1">
        <w:rPr>
          <w:sz w:val="24"/>
          <w:szCs w:val="24"/>
        </w:rPr>
        <w:t xml:space="preserve">Please forward written submissions to the Commissioner’s mailbox at: </w:t>
      </w:r>
      <w:hyperlink r:id="rId11" w:history="1">
        <w:r w:rsidR="00B141D1" w:rsidRPr="00B141D1">
          <w:rPr>
            <w:rStyle w:val="Hyperlink"/>
            <w:sz w:val="24"/>
            <w:szCs w:val="24"/>
          </w:rPr>
          <w:t>Commissioner@adc.nsw.gov.au</w:t>
        </w:r>
      </w:hyperlink>
      <w:r w:rsidR="00B141D1" w:rsidRPr="00B141D1">
        <w:rPr>
          <w:sz w:val="24"/>
          <w:szCs w:val="24"/>
        </w:rPr>
        <w:t xml:space="preserve">. </w:t>
      </w:r>
    </w:p>
    <w:p w:rsidR="004C0308" w:rsidRPr="00000A28" w:rsidRDefault="00000A28" w:rsidP="009505D2">
      <w:pPr>
        <w:pStyle w:val="ListParagraph"/>
        <w:numPr>
          <w:ilvl w:val="0"/>
          <w:numId w:val="35"/>
        </w:numPr>
        <w:spacing w:after="0" w:line="240" w:lineRule="auto"/>
        <w:ind w:left="360"/>
        <w:rPr>
          <w:sz w:val="32"/>
          <w:szCs w:val="32"/>
        </w:rPr>
      </w:pPr>
      <w:r>
        <w:rPr>
          <w:sz w:val="24"/>
          <w:szCs w:val="24"/>
        </w:rPr>
        <w:t>V</w:t>
      </w:r>
      <w:r w:rsidR="003C185D" w:rsidRPr="00000A28">
        <w:rPr>
          <w:sz w:val="24"/>
          <w:szCs w:val="24"/>
        </w:rPr>
        <w:t xml:space="preserve">erbal feedback can also be provided by contacting </w:t>
      </w:r>
      <w:r w:rsidR="006766A0" w:rsidRPr="00000A28">
        <w:rPr>
          <w:sz w:val="24"/>
          <w:szCs w:val="24"/>
        </w:rPr>
        <w:t xml:space="preserve">Katie Mears, Senior Policy Officer </w:t>
      </w:r>
      <w:r w:rsidR="006766A0" w:rsidRPr="00000A28">
        <w:rPr>
          <w:bCs/>
          <w:color w:val="000000"/>
          <w:lang w:eastAsia="en-AU"/>
        </w:rPr>
        <w:t>on:</w:t>
      </w:r>
      <w:r w:rsidR="006766A0" w:rsidRPr="00000A28">
        <w:rPr>
          <w:b/>
          <w:bCs/>
          <w:color w:val="000000"/>
          <w:lang w:eastAsia="en-AU"/>
        </w:rPr>
        <w:t xml:space="preserve"> </w:t>
      </w:r>
      <w:r w:rsidR="006766A0" w:rsidRPr="00000A28">
        <w:rPr>
          <w:color w:val="000000"/>
          <w:lang w:eastAsia="en-AU"/>
        </w:rPr>
        <w:t xml:space="preserve"> 02 9407 1853  / 0407 505 672 and </w:t>
      </w:r>
      <w:hyperlink r:id="rId12" w:history="1">
        <w:r w:rsidR="006766A0" w:rsidRPr="0098142C">
          <w:rPr>
            <w:rStyle w:val="Hyperlink"/>
            <w:lang w:eastAsia="en-AU"/>
          </w:rPr>
          <w:t>Katie.mears@adc.nsw.gov.au</w:t>
        </w:r>
      </w:hyperlink>
      <w:r w:rsidR="006766A0" w:rsidRPr="00000A28">
        <w:rPr>
          <w:color w:val="0563C1"/>
          <w:u w:val="single"/>
          <w:lang w:eastAsia="en-AU"/>
        </w:rPr>
        <w:t xml:space="preserve"> </w:t>
      </w:r>
    </w:p>
    <w:p w:rsidR="00702A61" w:rsidRDefault="00702A61" w:rsidP="00B141D1">
      <w:pPr>
        <w:pStyle w:val="Heading2"/>
        <w:spacing w:before="0" w:after="100" w:line="276" w:lineRule="auto"/>
        <w:rPr>
          <w:rFonts w:ascii="Arial" w:hAnsi="Arial" w:cs="Arial"/>
          <w:color w:val="002664"/>
          <w:sz w:val="32"/>
          <w:szCs w:val="32"/>
        </w:rPr>
      </w:pPr>
    </w:p>
    <w:p w:rsidR="003E2645" w:rsidRPr="00954D84" w:rsidRDefault="003E2645" w:rsidP="00954D84">
      <w:pPr>
        <w:pStyle w:val="Heading2"/>
        <w:spacing w:before="0" w:after="100" w:line="276" w:lineRule="auto"/>
        <w:rPr>
          <w:rFonts w:ascii="Arial" w:hAnsi="Arial" w:cs="Arial"/>
          <w:sz w:val="32"/>
          <w:szCs w:val="32"/>
        </w:rPr>
      </w:pPr>
      <w:bookmarkStart w:id="2" w:name="_Toc50989013"/>
      <w:r w:rsidRPr="00954D84">
        <w:rPr>
          <w:rFonts w:ascii="Arial" w:hAnsi="Arial" w:cs="Arial"/>
          <w:sz w:val="32"/>
          <w:szCs w:val="32"/>
        </w:rPr>
        <w:t>Background</w:t>
      </w:r>
      <w:bookmarkEnd w:id="2"/>
      <w:r w:rsidRPr="00954D84">
        <w:rPr>
          <w:rFonts w:ascii="Arial" w:hAnsi="Arial" w:cs="Arial"/>
          <w:sz w:val="32"/>
          <w:szCs w:val="32"/>
        </w:rPr>
        <w:t xml:space="preserve"> </w:t>
      </w:r>
    </w:p>
    <w:p w:rsidR="004C0308" w:rsidRDefault="00D868B4">
      <w:pPr>
        <w:spacing w:after="0" w:line="276" w:lineRule="auto"/>
        <w:rPr>
          <w:rFonts w:ascii="Calibri" w:eastAsia="Calibri" w:hAnsi="Calibri" w:cs="Calibri"/>
          <w:sz w:val="24"/>
          <w:szCs w:val="24"/>
        </w:rPr>
      </w:pPr>
      <w:r w:rsidRPr="00D245D5">
        <w:rPr>
          <w:rFonts w:ascii="Calibri" w:eastAsia="Calibri" w:hAnsi="Calibri" w:cs="Calibri"/>
          <w:sz w:val="24"/>
          <w:szCs w:val="24"/>
        </w:rPr>
        <w:t xml:space="preserve">The </w:t>
      </w:r>
      <w:r w:rsidRPr="00D245D5">
        <w:rPr>
          <w:rFonts w:ascii="Calibri" w:eastAsia="Calibri" w:hAnsi="Calibri" w:cs="Calibri"/>
          <w:i/>
          <w:sz w:val="24"/>
          <w:szCs w:val="24"/>
        </w:rPr>
        <w:t xml:space="preserve">2010-2020 National Disability Strategy </w:t>
      </w:r>
      <w:r w:rsidRPr="00D245D5">
        <w:rPr>
          <w:rFonts w:ascii="Calibri" w:eastAsia="Calibri" w:hAnsi="Calibri" w:cs="Calibri"/>
          <w:sz w:val="24"/>
          <w:szCs w:val="24"/>
        </w:rPr>
        <w:t>has provided a framework for Australia to meet its obligations under the United Nations Convention on the Rights of Persons with Disabilities (UNCRPD)</w:t>
      </w:r>
      <w:r w:rsidR="008E0E45">
        <w:rPr>
          <w:rFonts w:ascii="Calibri" w:eastAsia="Calibri" w:hAnsi="Calibri" w:cs="Calibri"/>
          <w:sz w:val="24"/>
          <w:szCs w:val="24"/>
        </w:rPr>
        <w:t>,</w:t>
      </w:r>
      <w:r w:rsidRPr="00D245D5">
        <w:rPr>
          <w:rFonts w:ascii="Calibri" w:eastAsia="Calibri" w:hAnsi="Calibri" w:cs="Calibri"/>
          <w:sz w:val="24"/>
          <w:szCs w:val="24"/>
        </w:rPr>
        <w:t xml:space="preserve"> which Australia ratified in 2008. </w:t>
      </w:r>
    </w:p>
    <w:p w:rsidR="00A5654B" w:rsidRDefault="00A5654B" w:rsidP="00835FC0">
      <w:pPr>
        <w:spacing w:after="60" w:line="276" w:lineRule="auto"/>
        <w:rPr>
          <w:rFonts w:ascii="Calibri" w:eastAsia="Calibri" w:hAnsi="Calibri" w:cs="Calibri"/>
          <w:sz w:val="24"/>
          <w:szCs w:val="24"/>
        </w:rPr>
      </w:pPr>
    </w:p>
    <w:p w:rsidR="009A5DF3" w:rsidRPr="0098142C" w:rsidRDefault="00480E2A" w:rsidP="0098142C">
      <w:pPr>
        <w:spacing w:after="0" w:line="276" w:lineRule="auto"/>
        <w:rPr>
          <w:rFonts w:cs="Arial"/>
          <w:bCs/>
          <w:sz w:val="24"/>
          <w:szCs w:val="24"/>
        </w:rPr>
      </w:pPr>
      <w:r>
        <w:rPr>
          <w:rFonts w:ascii="Calibri" w:eastAsia="Calibri" w:hAnsi="Calibri" w:cs="Calibri"/>
          <w:sz w:val="24"/>
          <w:szCs w:val="24"/>
        </w:rPr>
        <w:t>The Strategy</w:t>
      </w:r>
      <w:r w:rsidR="00A5654B">
        <w:rPr>
          <w:rFonts w:ascii="Calibri" w:eastAsia="Calibri" w:hAnsi="Calibri" w:cs="Calibri"/>
          <w:sz w:val="24"/>
          <w:szCs w:val="24"/>
        </w:rPr>
        <w:t xml:space="preserve"> was </w:t>
      </w:r>
      <w:r w:rsidR="00D868B4" w:rsidRPr="00D245D5">
        <w:rPr>
          <w:rFonts w:ascii="Calibri" w:eastAsia="Times New Roman" w:hAnsi="Calibri" w:cs="Calibri"/>
          <w:sz w:val="24"/>
          <w:szCs w:val="24"/>
          <w:lang w:eastAsia="en-AU"/>
        </w:rPr>
        <w:t xml:space="preserve">developed </w:t>
      </w:r>
      <w:r>
        <w:rPr>
          <w:rFonts w:ascii="Calibri" w:eastAsia="Times New Roman" w:hAnsi="Calibri" w:cs="Calibri"/>
          <w:sz w:val="24"/>
          <w:szCs w:val="24"/>
          <w:lang w:eastAsia="en-AU"/>
        </w:rPr>
        <w:t>after</w:t>
      </w:r>
      <w:r w:rsidR="00D868B4" w:rsidRPr="00D245D5">
        <w:rPr>
          <w:rFonts w:ascii="Calibri" w:eastAsia="Times New Roman" w:hAnsi="Calibri" w:cs="Calibri"/>
          <w:sz w:val="24"/>
          <w:szCs w:val="24"/>
          <w:lang w:eastAsia="en-AU"/>
        </w:rPr>
        <w:t xml:space="preserve"> extensive consultation</w:t>
      </w:r>
      <w:r w:rsidR="00D45B02">
        <w:rPr>
          <w:rFonts w:ascii="Calibri" w:eastAsia="Times New Roman" w:hAnsi="Calibri" w:cs="Calibri"/>
          <w:sz w:val="24"/>
          <w:szCs w:val="24"/>
          <w:lang w:eastAsia="en-AU"/>
        </w:rPr>
        <w:t>s</w:t>
      </w:r>
      <w:r w:rsidR="00D868B4" w:rsidRPr="00D245D5">
        <w:rPr>
          <w:rFonts w:ascii="Calibri" w:eastAsia="Times New Roman" w:hAnsi="Calibri" w:cs="Calibri"/>
          <w:sz w:val="24"/>
          <w:szCs w:val="24"/>
          <w:lang w:eastAsia="en-AU"/>
        </w:rPr>
        <w:t xml:space="preserve"> with people with disability, their families, carers and representative organisations, community groups, disability and other organisations, service providers and all levels of government</w:t>
      </w:r>
      <w:r w:rsidR="00A5654B">
        <w:rPr>
          <w:rFonts w:ascii="Calibri" w:eastAsia="Times New Roman" w:hAnsi="Calibri" w:cs="Calibri"/>
          <w:sz w:val="24"/>
          <w:szCs w:val="24"/>
          <w:lang w:eastAsia="en-AU"/>
        </w:rPr>
        <w:t>. T</w:t>
      </w:r>
      <w:r w:rsidR="00D868B4" w:rsidRPr="00D245D5">
        <w:rPr>
          <w:rFonts w:ascii="Calibri" w:eastAsia="Times New Roman" w:hAnsi="Calibri" w:cs="Calibri"/>
          <w:sz w:val="24"/>
          <w:szCs w:val="24"/>
          <w:lang w:eastAsia="en-AU"/>
        </w:rPr>
        <w:t>h</w:t>
      </w:r>
      <w:r w:rsidR="0078071F">
        <w:rPr>
          <w:rFonts w:ascii="Calibri" w:eastAsia="Times New Roman" w:hAnsi="Calibri" w:cs="Calibri"/>
          <w:sz w:val="24"/>
          <w:szCs w:val="24"/>
          <w:lang w:eastAsia="en-AU"/>
        </w:rPr>
        <w:t xml:space="preserve">e consultations were </w:t>
      </w:r>
      <w:r w:rsidR="00D868B4" w:rsidRPr="00D245D5">
        <w:rPr>
          <w:rFonts w:ascii="Calibri" w:eastAsia="Times New Roman" w:hAnsi="Calibri" w:cs="Calibri"/>
          <w:sz w:val="24"/>
          <w:szCs w:val="24"/>
          <w:lang w:eastAsia="en-AU"/>
        </w:rPr>
        <w:t xml:space="preserve">summarised in the report </w:t>
      </w:r>
      <w:r w:rsidR="00D868B4" w:rsidRPr="00D245D5">
        <w:rPr>
          <w:rFonts w:ascii="Calibri" w:eastAsia="Times New Roman" w:hAnsi="Calibri" w:cs="Calibri"/>
          <w:i/>
          <w:sz w:val="24"/>
          <w:szCs w:val="24"/>
          <w:lang w:eastAsia="en-AU"/>
        </w:rPr>
        <w:t>Shut Out: The Experience of People with Disabilities and their Families in Australia</w:t>
      </w:r>
      <w:r w:rsidR="00D868B4" w:rsidRPr="00D245D5">
        <w:rPr>
          <w:rFonts w:ascii="Calibri" w:eastAsia="Times New Roman" w:hAnsi="Calibri" w:cs="Calibri"/>
          <w:sz w:val="24"/>
          <w:szCs w:val="24"/>
          <w:lang w:eastAsia="en-AU"/>
        </w:rPr>
        <w:t xml:space="preserve"> (2009), which informed the six </w:t>
      </w:r>
      <w:r w:rsidR="00435BA0">
        <w:rPr>
          <w:rFonts w:ascii="Calibri" w:eastAsia="Times New Roman" w:hAnsi="Calibri" w:cs="Calibri"/>
          <w:sz w:val="24"/>
          <w:szCs w:val="24"/>
          <w:lang w:eastAsia="en-AU"/>
        </w:rPr>
        <w:t>o</w:t>
      </w:r>
      <w:r w:rsidR="00A5654B">
        <w:rPr>
          <w:rFonts w:ascii="Calibri" w:eastAsia="Times New Roman" w:hAnsi="Calibri" w:cs="Calibri"/>
          <w:sz w:val="24"/>
          <w:szCs w:val="24"/>
          <w:lang w:eastAsia="en-AU"/>
        </w:rPr>
        <w:t>ut</w:t>
      </w:r>
      <w:r w:rsidR="00D868B4" w:rsidRPr="00D245D5">
        <w:rPr>
          <w:rFonts w:ascii="Calibri" w:eastAsia="Times New Roman" w:hAnsi="Calibri" w:cs="Calibri"/>
          <w:sz w:val="24"/>
          <w:szCs w:val="24"/>
          <w:lang w:eastAsia="en-AU"/>
        </w:rPr>
        <w:t xml:space="preserve">come </w:t>
      </w:r>
      <w:r w:rsidR="00435BA0">
        <w:rPr>
          <w:rFonts w:ascii="Calibri" w:eastAsia="Times New Roman" w:hAnsi="Calibri" w:cs="Calibri"/>
          <w:sz w:val="24"/>
          <w:szCs w:val="24"/>
          <w:lang w:eastAsia="en-AU"/>
        </w:rPr>
        <w:t>a</w:t>
      </w:r>
      <w:r w:rsidR="00D868B4" w:rsidRPr="00D245D5">
        <w:rPr>
          <w:rFonts w:ascii="Calibri" w:eastAsia="Times New Roman" w:hAnsi="Calibri" w:cs="Calibri"/>
          <w:sz w:val="24"/>
          <w:szCs w:val="24"/>
          <w:lang w:eastAsia="en-AU"/>
        </w:rPr>
        <w:t>reas in the Strategy</w:t>
      </w:r>
      <w:r w:rsidR="00A5654B">
        <w:rPr>
          <w:rFonts w:ascii="Calibri" w:eastAsia="Times New Roman" w:hAnsi="Calibri" w:cs="Calibri"/>
          <w:sz w:val="24"/>
          <w:szCs w:val="24"/>
          <w:lang w:eastAsia="en-AU"/>
        </w:rPr>
        <w:t>.</w:t>
      </w:r>
      <w:r w:rsidR="00D868B4" w:rsidRPr="00D245D5">
        <w:rPr>
          <w:rFonts w:ascii="Calibri" w:eastAsia="Times New Roman" w:hAnsi="Calibri" w:cs="Calibri"/>
          <w:sz w:val="24"/>
          <w:szCs w:val="24"/>
          <w:lang w:eastAsia="en-AU"/>
        </w:rPr>
        <w:t xml:space="preserve"> </w:t>
      </w:r>
      <w:r w:rsidR="00D45B02">
        <w:rPr>
          <w:rFonts w:ascii="Calibri" w:eastAsia="Times New Roman" w:hAnsi="Calibri" w:cs="Calibri"/>
          <w:sz w:val="24"/>
          <w:szCs w:val="24"/>
          <w:lang w:eastAsia="en-AU"/>
        </w:rPr>
        <w:t>All governments agreed to the Strategy, through t</w:t>
      </w:r>
      <w:r w:rsidR="00D868B4" w:rsidRPr="00D245D5">
        <w:rPr>
          <w:rFonts w:ascii="Calibri" w:eastAsia="Calibri" w:hAnsi="Calibri" w:cs="Calibri"/>
          <w:sz w:val="24"/>
          <w:szCs w:val="24"/>
        </w:rPr>
        <w:t>he Council of Australian Governments (COAG)</w:t>
      </w:r>
      <w:r w:rsidR="00D45B02">
        <w:rPr>
          <w:rFonts w:ascii="Calibri" w:eastAsia="Calibri" w:hAnsi="Calibri" w:cs="Calibri"/>
          <w:sz w:val="24"/>
          <w:szCs w:val="24"/>
        </w:rPr>
        <w:t>, in 2011</w:t>
      </w:r>
      <w:r w:rsidR="00D868B4" w:rsidRPr="00D245D5">
        <w:rPr>
          <w:rFonts w:ascii="Calibri" w:eastAsia="Calibri" w:hAnsi="Calibri" w:cs="Calibri"/>
          <w:sz w:val="24"/>
          <w:szCs w:val="24"/>
        </w:rPr>
        <w:t>.</w:t>
      </w:r>
      <w:r w:rsidR="009A5DF3" w:rsidRPr="009A5DF3">
        <w:rPr>
          <w:rFonts w:ascii="Arial" w:hAnsi="Arial" w:cs="Arial"/>
          <w:b/>
          <w:bCs/>
          <w:color w:val="002060"/>
          <w:sz w:val="32"/>
          <w:szCs w:val="32"/>
        </w:rPr>
        <w:t xml:space="preserve"> </w:t>
      </w:r>
      <w:r w:rsidR="009A5DF3" w:rsidRPr="0098142C">
        <w:rPr>
          <w:rFonts w:cstheme="minorHAnsi"/>
          <w:sz w:val="24"/>
          <w:szCs w:val="24"/>
        </w:rPr>
        <w:t xml:space="preserve">(See </w:t>
      </w:r>
      <w:r w:rsidR="009A5DF3" w:rsidRPr="0098142C">
        <w:rPr>
          <w:rFonts w:cstheme="minorHAnsi"/>
          <w:b/>
          <w:sz w:val="24"/>
          <w:szCs w:val="24"/>
        </w:rPr>
        <w:t>Appendix 1</w:t>
      </w:r>
      <w:r w:rsidR="009A5DF3" w:rsidRPr="0098142C">
        <w:rPr>
          <w:rFonts w:cstheme="minorHAnsi"/>
          <w:sz w:val="24"/>
          <w:szCs w:val="24"/>
        </w:rPr>
        <w:t xml:space="preserve"> for further details of NDS </w:t>
      </w:r>
      <w:r w:rsidR="009A5DF3" w:rsidRPr="0098142C">
        <w:rPr>
          <w:rFonts w:cs="Arial"/>
          <w:bCs/>
          <w:sz w:val="24"/>
          <w:szCs w:val="24"/>
        </w:rPr>
        <w:t>governance arrangements, including NSW</w:t>
      </w:r>
      <w:r w:rsidR="009A10C1" w:rsidRPr="0098142C">
        <w:rPr>
          <w:rFonts w:cs="Arial"/>
          <w:bCs/>
          <w:sz w:val="24"/>
          <w:szCs w:val="24"/>
        </w:rPr>
        <w:t xml:space="preserve"> governance</w:t>
      </w:r>
      <w:r w:rsidR="009A5DF3" w:rsidRPr="0098142C">
        <w:rPr>
          <w:rFonts w:cs="Arial"/>
          <w:bCs/>
          <w:sz w:val="24"/>
          <w:szCs w:val="24"/>
        </w:rPr>
        <w:t>).</w:t>
      </w:r>
    </w:p>
    <w:p w:rsidR="00D868B4" w:rsidRPr="00D245D5" w:rsidRDefault="00D868B4" w:rsidP="00402BE5">
      <w:pPr>
        <w:spacing w:after="0" w:line="276" w:lineRule="auto"/>
        <w:rPr>
          <w:rFonts w:ascii="Calibri" w:eastAsia="Times New Roman" w:hAnsi="Calibri" w:cs="Calibri"/>
          <w:sz w:val="24"/>
          <w:szCs w:val="24"/>
          <w:lang w:eastAsia="en-AU"/>
        </w:rPr>
      </w:pPr>
    </w:p>
    <w:p w:rsidR="003E2645" w:rsidRPr="00F60B4C" w:rsidRDefault="00D868B4">
      <w:pPr>
        <w:spacing w:after="0" w:line="276" w:lineRule="auto"/>
        <w:rPr>
          <w:rFonts w:ascii="Calibri" w:eastAsia="Times New Roman" w:hAnsi="Calibri" w:cs="Calibri"/>
          <w:sz w:val="24"/>
          <w:szCs w:val="24"/>
        </w:rPr>
      </w:pPr>
      <w:r w:rsidRPr="00E21854">
        <w:rPr>
          <w:rFonts w:ascii="Calibri" w:eastAsia="Times New Roman" w:hAnsi="Calibri" w:cs="Calibri"/>
          <w:sz w:val="24"/>
          <w:szCs w:val="24"/>
          <w:lang w:eastAsia="en-AU"/>
        </w:rPr>
        <w:t xml:space="preserve">The </w:t>
      </w:r>
      <w:r w:rsidRPr="008E0E45">
        <w:rPr>
          <w:rFonts w:ascii="Calibri" w:eastAsia="Times New Roman" w:hAnsi="Calibri" w:cs="Calibri"/>
          <w:sz w:val="24"/>
          <w:szCs w:val="24"/>
          <w:lang w:eastAsia="en-AU"/>
        </w:rPr>
        <w:t>Strategy</w:t>
      </w:r>
      <w:r w:rsidRPr="00E21854">
        <w:rPr>
          <w:rFonts w:ascii="Calibri" w:eastAsia="Times New Roman" w:hAnsi="Calibri" w:cs="Calibri"/>
          <w:sz w:val="24"/>
          <w:szCs w:val="24"/>
          <w:lang w:eastAsia="en-AU"/>
        </w:rPr>
        <w:t xml:space="preserve"> has </w:t>
      </w:r>
      <w:r w:rsidR="008C658F">
        <w:rPr>
          <w:rFonts w:ascii="Calibri" w:eastAsia="Times New Roman" w:hAnsi="Calibri" w:cs="Calibri"/>
          <w:sz w:val="24"/>
          <w:szCs w:val="24"/>
          <w:lang w:eastAsia="en-AU"/>
        </w:rPr>
        <w:t>been</w:t>
      </w:r>
      <w:r w:rsidRPr="00E21854">
        <w:rPr>
          <w:rFonts w:ascii="Calibri" w:eastAsia="Times New Roman" w:hAnsi="Calibri" w:cs="Calibri"/>
          <w:sz w:val="24"/>
          <w:szCs w:val="24"/>
          <w:lang w:eastAsia="en-AU"/>
        </w:rPr>
        <w:t xml:space="preserve"> ‘the key mechanism for driving a more inclusive approach to the design of policies, programs and </w:t>
      </w:r>
      <w:r w:rsidRPr="003E2645">
        <w:rPr>
          <w:rFonts w:ascii="Calibri" w:eastAsia="Times New Roman" w:hAnsi="Calibri" w:cs="Calibri"/>
          <w:sz w:val="24"/>
          <w:szCs w:val="24"/>
          <w:lang w:eastAsia="en-AU"/>
        </w:rPr>
        <w:t>infrastructure so people with disability can participate in all areas of Australian life. It guides the design, implementation and delivery of mainstream policy, services and infrastructure as well as specialist disability services’</w:t>
      </w:r>
      <w:r w:rsidRPr="00E21854">
        <w:rPr>
          <w:rFonts w:ascii="Calibri" w:eastAsia="Times New Roman" w:hAnsi="Calibri" w:cs="Calibri"/>
          <w:sz w:val="24"/>
          <w:szCs w:val="24"/>
          <w:vertAlign w:val="superscript"/>
          <w:lang w:eastAsia="en-AU"/>
        </w:rPr>
        <w:footnoteReference w:id="2"/>
      </w:r>
      <w:r w:rsidR="00DE23EA">
        <w:rPr>
          <w:rFonts w:ascii="Calibri" w:eastAsia="Times New Roman" w:hAnsi="Calibri" w:cs="Calibri"/>
          <w:sz w:val="24"/>
          <w:szCs w:val="24"/>
          <w:lang w:eastAsia="en-AU"/>
        </w:rPr>
        <w:t xml:space="preserve"> </w:t>
      </w:r>
      <w:r w:rsidRPr="00E21854">
        <w:rPr>
          <w:rFonts w:ascii="Calibri" w:eastAsia="Times New Roman" w:hAnsi="Calibri" w:cs="Calibri"/>
          <w:sz w:val="24"/>
          <w:szCs w:val="24"/>
          <w:lang w:eastAsia="en-AU"/>
        </w:rPr>
        <w:t>and is the main mechanism under which UNCRPD principles are incorporated into policies and programs in Australia.</w:t>
      </w:r>
      <w:r w:rsidR="003E2645" w:rsidRPr="00E21854">
        <w:rPr>
          <w:rFonts w:ascii="Calibri" w:eastAsia="Times New Roman" w:hAnsi="Calibri" w:cs="Calibri"/>
          <w:sz w:val="24"/>
          <w:szCs w:val="24"/>
          <w:lang w:eastAsia="en-AU"/>
        </w:rPr>
        <w:t xml:space="preserve"> </w:t>
      </w:r>
    </w:p>
    <w:p w:rsidR="004C0308" w:rsidRPr="00D245D5" w:rsidRDefault="004C0308" w:rsidP="00402BE5">
      <w:pPr>
        <w:spacing w:after="0" w:line="276" w:lineRule="auto"/>
        <w:rPr>
          <w:rFonts w:ascii="Calibri" w:eastAsia="Times New Roman" w:hAnsi="Calibri" w:cs="Calibri"/>
          <w:sz w:val="24"/>
          <w:szCs w:val="24"/>
          <w:lang w:eastAsia="en-AU"/>
        </w:rPr>
      </w:pPr>
    </w:p>
    <w:p w:rsidR="00D868B4" w:rsidRPr="00D245D5" w:rsidRDefault="008C658F" w:rsidP="00402BE5">
      <w:pPr>
        <w:spacing w:after="60" w:line="276" w:lineRule="auto"/>
        <w:rPr>
          <w:rFonts w:ascii="Calibri" w:eastAsia="Times New Roman" w:hAnsi="Calibri" w:cs="Calibri"/>
          <w:sz w:val="24"/>
          <w:szCs w:val="24"/>
          <w:lang w:eastAsia="en-AU"/>
        </w:rPr>
      </w:pPr>
      <w:r>
        <w:rPr>
          <w:rFonts w:ascii="Calibri" w:eastAsia="Times New Roman" w:hAnsi="Calibri" w:cs="Calibri"/>
          <w:sz w:val="24"/>
          <w:szCs w:val="24"/>
          <w:lang w:eastAsia="en-AU"/>
        </w:rPr>
        <w:t>T</w:t>
      </w:r>
      <w:r w:rsidRPr="00F60B4C">
        <w:rPr>
          <w:rFonts w:ascii="Calibri" w:eastAsia="Times New Roman" w:hAnsi="Calibri" w:cs="Calibri"/>
          <w:sz w:val="24"/>
          <w:szCs w:val="24"/>
          <w:lang w:eastAsia="en-GB"/>
        </w:rPr>
        <w:t>he current</w:t>
      </w:r>
      <w:r>
        <w:rPr>
          <w:rFonts w:ascii="Calibri" w:eastAsia="Times New Roman" w:hAnsi="Calibri" w:cs="Calibri"/>
          <w:sz w:val="24"/>
          <w:szCs w:val="24"/>
          <w:lang w:eastAsia="en-GB"/>
        </w:rPr>
        <w:t xml:space="preserve"> 10-year Strategy,</w:t>
      </w:r>
      <w:r w:rsidRPr="00F60B4C">
        <w:rPr>
          <w:rFonts w:ascii="Calibri" w:eastAsia="Times New Roman" w:hAnsi="Calibri" w:cs="Calibri"/>
          <w:sz w:val="24"/>
          <w:szCs w:val="24"/>
          <w:lang w:eastAsia="en-GB"/>
        </w:rPr>
        <w:t xml:space="preserve"> due to e</w:t>
      </w:r>
      <w:r>
        <w:rPr>
          <w:rFonts w:ascii="Calibri" w:eastAsia="Times New Roman" w:hAnsi="Calibri" w:cs="Calibri"/>
          <w:sz w:val="24"/>
          <w:szCs w:val="24"/>
          <w:lang w:eastAsia="en-GB"/>
        </w:rPr>
        <w:t>nd in</w:t>
      </w:r>
      <w:r w:rsidRPr="00F60B4C">
        <w:rPr>
          <w:rFonts w:ascii="Calibri" w:eastAsia="Times New Roman" w:hAnsi="Calibri" w:cs="Calibri"/>
          <w:sz w:val="24"/>
          <w:szCs w:val="24"/>
          <w:lang w:eastAsia="en-GB"/>
        </w:rPr>
        <w:t xml:space="preserve"> 2020</w:t>
      </w:r>
      <w:r>
        <w:rPr>
          <w:rFonts w:ascii="Calibri" w:eastAsia="Times New Roman" w:hAnsi="Calibri" w:cs="Calibri"/>
          <w:sz w:val="24"/>
          <w:szCs w:val="24"/>
          <w:lang w:eastAsia="en-GB"/>
        </w:rPr>
        <w:t xml:space="preserve">, </w:t>
      </w:r>
      <w:r w:rsidR="00D868B4" w:rsidRPr="00D245D5">
        <w:rPr>
          <w:rFonts w:ascii="Calibri" w:eastAsia="Times New Roman" w:hAnsi="Calibri" w:cs="Calibri"/>
          <w:sz w:val="24"/>
          <w:szCs w:val="24"/>
          <w:lang w:eastAsia="en-AU"/>
        </w:rPr>
        <w:t>has aimed to:</w:t>
      </w:r>
    </w:p>
    <w:p w:rsidR="00D868B4" w:rsidRPr="00D245D5" w:rsidRDefault="00631514" w:rsidP="009505D2">
      <w:pPr>
        <w:numPr>
          <w:ilvl w:val="0"/>
          <w:numId w:val="16"/>
        </w:numPr>
        <w:spacing w:after="60" w:line="276" w:lineRule="auto"/>
        <w:ind w:left="709"/>
        <w:contextualSpacing/>
        <w:rPr>
          <w:rFonts w:ascii="Calibri" w:eastAsia="Calibri" w:hAnsi="Calibri" w:cs="Calibri"/>
          <w:sz w:val="24"/>
          <w:szCs w:val="24"/>
        </w:rPr>
      </w:pPr>
      <w:r>
        <w:rPr>
          <w:rFonts w:ascii="Calibri" w:eastAsia="Calibri" w:hAnsi="Calibri" w:cs="Calibri"/>
          <w:sz w:val="24"/>
          <w:szCs w:val="24"/>
        </w:rPr>
        <w:t>e</w:t>
      </w:r>
      <w:r w:rsidR="00D868B4" w:rsidRPr="00D245D5">
        <w:rPr>
          <w:rFonts w:ascii="Calibri" w:eastAsia="Calibri" w:hAnsi="Calibri" w:cs="Calibri"/>
          <w:sz w:val="24"/>
          <w:szCs w:val="24"/>
        </w:rPr>
        <w:t>stablish a high level policy framework to guide government activity across mainstream and disability-specific area</w:t>
      </w:r>
      <w:r>
        <w:rPr>
          <w:rFonts w:ascii="Calibri" w:eastAsia="Calibri" w:hAnsi="Calibri" w:cs="Calibri"/>
          <w:sz w:val="24"/>
          <w:szCs w:val="24"/>
        </w:rPr>
        <w:t>s</w:t>
      </w:r>
      <w:r w:rsidR="00D868B4" w:rsidRPr="00D245D5">
        <w:rPr>
          <w:rFonts w:ascii="Calibri" w:eastAsia="Calibri" w:hAnsi="Calibri" w:cs="Calibri"/>
          <w:sz w:val="24"/>
          <w:szCs w:val="24"/>
        </w:rPr>
        <w:t xml:space="preserve"> of public policy</w:t>
      </w:r>
    </w:p>
    <w:p w:rsidR="00D868B4" w:rsidRPr="00D245D5" w:rsidRDefault="00631514" w:rsidP="009505D2">
      <w:pPr>
        <w:numPr>
          <w:ilvl w:val="0"/>
          <w:numId w:val="16"/>
        </w:numPr>
        <w:spacing w:after="60" w:line="276" w:lineRule="auto"/>
        <w:ind w:left="709"/>
        <w:contextualSpacing/>
        <w:rPr>
          <w:rFonts w:ascii="Calibri" w:eastAsia="Calibri" w:hAnsi="Calibri" w:cs="Calibri"/>
          <w:sz w:val="24"/>
          <w:szCs w:val="24"/>
        </w:rPr>
      </w:pPr>
      <w:r>
        <w:rPr>
          <w:rFonts w:ascii="Calibri" w:eastAsia="Calibri" w:hAnsi="Calibri" w:cs="Calibri"/>
          <w:sz w:val="24"/>
          <w:szCs w:val="24"/>
        </w:rPr>
        <w:t>d</w:t>
      </w:r>
      <w:r w:rsidR="00D868B4" w:rsidRPr="00D245D5">
        <w:rPr>
          <w:rFonts w:ascii="Calibri" w:eastAsia="Calibri" w:hAnsi="Calibri" w:cs="Calibri"/>
          <w:sz w:val="24"/>
          <w:szCs w:val="24"/>
        </w:rPr>
        <w:t xml:space="preserve">rive </w:t>
      </w:r>
      <w:r>
        <w:rPr>
          <w:rFonts w:ascii="Calibri" w:eastAsia="Calibri" w:hAnsi="Calibri" w:cs="Calibri"/>
          <w:sz w:val="24"/>
          <w:szCs w:val="24"/>
        </w:rPr>
        <w:t xml:space="preserve">the </w:t>
      </w:r>
      <w:r w:rsidR="00D868B4" w:rsidRPr="00D245D5">
        <w:rPr>
          <w:rFonts w:ascii="Calibri" w:eastAsia="Calibri" w:hAnsi="Calibri" w:cs="Calibri"/>
          <w:sz w:val="24"/>
          <w:szCs w:val="24"/>
        </w:rPr>
        <w:t>performance of mainstream services in delivering outcomes for people with disability</w:t>
      </w:r>
    </w:p>
    <w:p w:rsidR="00D868B4" w:rsidRPr="00D245D5" w:rsidRDefault="00631514" w:rsidP="009505D2">
      <w:pPr>
        <w:numPr>
          <w:ilvl w:val="0"/>
          <w:numId w:val="16"/>
        </w:numPr>
        <w:spacing w:after="60" w:line="276" w:lineRule="auto"/>
        <w:ind w:left="709"/>
        <w:contextualSpacing/>
        <w:rPr>
          <w:rFonts w:ascii="Calibri" w:eastAsia="Calibri" w:hAnsi="Calibri" w:cs="Calibri"/>
          <w:sz w:val="24"/>
          <w:szCs w:val="24"/>
        </w:rPr>
      </w:pPr>
      <w:r>
        <w:rPr>
          <w:rFonts w:ascii="Calibri" w:eastAsia="Calibri" w:hAnsi="Calibri" w:cs="Calibri"/>
          <w:sz w:val="24"/>
          <w:szCs w:val="24"/>
        </w:rPr>
        <w:t>g</w:t>
      </w:r>
      <w:r w:rsidR="00D868B4" w:rsidRPr="00D245D5">
        <w:rPr>
          <w:rFonts w:ascii="Calibri" w:eastAsia="Calibri" w:hAnsi="Calibri" w:cs="Calibri"/>
          <w:sz w:val="24"/>
          <w:szCs w:val="24"/>
        </w:rPr>
        <w:t xml:space="preserve">ive visibility to disability issues and ensure they are included in the development and implementation of all public policy that </w:t>
      </w:r>
      <w:r>
        <w:rPr>
          <w:rFonts w:ascii="Calibri" w:eastAsia="Calibri" w:hAnsi="Calibri" w:cs="Calibri"/>
          <w:sz w:val="24"/>
          <w:szCs w:val="24"/>
        </w:rPr>
        <w:t>affects</w:t>
      </w:r>
      <w:r w:rsidR="00D868B4" w:rsidRPr="00D245D5">
        <w:rPr>
          <w:rFonts w:ascii="Calibri" w:eastAsia="Calibri" w:hAnsi="Calibri" w:cs="Calibri"/>
          <w:sz w:val="24"/>
          <w:szCs w:val="24"/>
        </w:rPr>
        <w:t xml:space="preserve"> people with disability</w:t>
      </w:r>
    </w:p>
    <w:p w:rsidR="00D868B4" w:rsidRPr="00D245D5" w:rsidRDefault="00631514" w:rsidP="009505D2">
      <w:pPr>
        <w:numPr>
          <w:ilvl w:val="0"/>
          <w:numId w:val="16"/>
        </w:numPr>
        <w:spacing w:after="0" w:line="240" w:lineRule="auto"/>
        <w:ind w:left="709"/>
        <w:contextualSpacing/>
        <w:rPr>
          <w:rFonts w:ascii="Calibri" w:eastAsia="Calibri" w:hAnsi="Calibri" w:cs="Calibri"/>
          <w:sz w:val="24"/>
          <w:szCs w:val="24"/>
        </w:rPr>
      </w:pPr>
      <w:r>
        <w:rPr>
          <w:rFonts w:ascii="Calibri" w:eastAsia="Calibri" w:hAnsi="Calibri" w:cs="Calibri"/>
          <w:sz w:val="24"/>
          <w:szCs w:val="24"/>
        </w:rPr>
        <w:t>p</w:t>
      </w:r>
      <w:r w:rsidR="00D868B4" w:rsidRPr="00D245D5">
        <w:rPr>
          <w:rFonts w:ascii="Calibri" w:eastAsia="Calibri" w:hAnsi="Calibri" w:cs="Calibri"/>
          <w:sz w:val="24"/>
          <w:szCs w:val="24"/>
        </w:rPr>
        <w:t>rovide national leadership toward greater inclusion of people with disability.</w:t>
      </w:r>
    </w:p>
    <w:p w:rsidR="00D868B4" w:rsidRPr="00D245D5" w:rsidRDefault="00D868B4">
      <w:pPr>
        <w:spacing w:after="0" w:line="276" w:lineRule="auto"/>
        <w:rPr>
          <w:rFonts w:ascii="Calibri" w:eastAsia="Calibri" w:hAnsi="Calibri" w:cs="Calibri"/>
          <w:sz w:val="24"/>
          <w:szCs w:val="24"/>
        </w:rPr>
      </w:pPr>
    </w:p>
    <w:p w:rsidR="00E21854" w:rsidRDefault="00D868B4" w:rsidP="00835FC0">
      <w:pPr>
        <w:spacing w:after="0" w:line="276" w:lineRule="auto"/>
        <w:rPr>
          <w:rFonts w:ascii="Calibri" w:eastAsia="Calibri" w:hAnsi="Calibri" w:cs="Calibri"/>
          <w:sz w:val="24"/>
          <w:szCs w:val="24"/>
        </w:rPr>
      </w:pPr>
      <w:r w:rsidRPr="00D245D5">
        <w:rPr>
          <w:rFonts w:ascii="Calibri" w:eastAsia="Calibri" w:hAnsi="Calibri" w:cs="Calibri"/>
          <w:sz w:val="24"/>
          <w:szCs w:val="24"/>
        </w:rPr>
        <w:t xml:space="preserve">The Strategy’s </w:t>
      </w:r>
      <w:r w:rsidR="00631514">
        <w:rPr>
          <w:rFonts w:ascii="Calibri" w:eastAsia="Calibri" w:hAnsi="Calibri" w:cs="Calibri"/>
          <w:sz w:val="24"/>
          <w:szCs w:val="24"/>
        </w:rPr>
        <w:t>‘</w:t>
      </w:r>
      <w:r w:rsidRPr="00D245D5">
        <w:rPr>
          <w:rFonts w:ascii="Calibri" w:eastAsia="Calibri" w:hAnsi="Calibri" w:cs="Calibri"/>
          <w:sz w:val="24"/>
          <w:szCs w:val="24"/>
        </w:rPr>
        <w:t>shared vision is for an inclusive Australian society that enables people with disability to fulfil their potential as equal citizens</w:t>
      </w:r>
      <w:r w:rsidR="00631514">
        <w:rPr>
          <w:rFonts w:ascii="Calibri" w:eastAsia="Calibri" w:hAnsi="Calibri" w:cs="Calibri"/>
          <w:sz w:val="24"/>
          <w:szCs w:val="24"/>
        </w:rPr>
        <w:t>’.</w:t>
      </w:r>
      <w:r w:rsidRPr="00D245D5">
        <w:rPr>
          <w:rFonts w:ascii="Calibri" w:eastAsia="Calibri" w:hAnsi="Calibri" w:cs="Calibri"/>
          <w:sz w:val="24"/>
          <w:szCs w:val="24"/>
          <w:vertAlign w:val="superscript"/>
        </w:rPr>
        <w:footnoteReference w:id="3"/>
      </w:r>
      <w:r w:rsidRPr="00D245D5">
        <w:rPr>
          <w:rFonts w:ascii="Calibri" w:eastAsia="Calibri" w:hAnsi="Calibri" w:cs="Calibri"/>
          <w:sz w:val="24"/>
          <w:szCs w:val="24"/>
        </w:rPr>
        <w:t xml:space="preserve"> </w:t>
      </w:r>
      <w:r w:rsidR="00631514">
        <w:rPr>
          <w:rFonts w:ascii="Calibri" w:eastAsia="Calibri" w:hAnsi="Calibri" w:cs="Calibri"/>
          <w:sz w:val="24"/>
          <w:szCs w:val="24"/>
        </w:rPr>
        <w:t>It</w:t>
      </w:r>
      <w:r w:rsidRPr="00D245D5">
        <w:rPr>
          <w:rFonts w:ascii="Calibri" w:eastAsia="Calibri" w:hAnsi="Calibri" w:cs="Calibri"/>
          <w:sz w:val="24"/>
          <w:szCs w:val="24"/>
        </w:rPr>
        <w:t xml:space="preserve"> has focused on six </w:t>
      </w:r>
      <w:r w:rsidR="0078071F">
        <w:rPr>
          <w:rFonts w:ascii="Calibri" w:eastAsia="Calibri" w:hAnsi="Calibri" w:cs="Calibri"/>
          <w:sz w:val="24"/>
          <w:szCs w:val="24"/>
        </w:rPr>
        <w:t xml:space="preserve">outcome </w:t>
      </w:r>
      <w:r w:rsidRPr="00D245D5">
        <w:rPr>
          <w:rFonts w:ascii="Calibri" w:eastAsia="Calibri" w:hAnsi="Calibri" w:cs="Calibri"/>
          <w:sz w:val="24"/>
          <w:szCs w:val="24"/>
        </w:rPr>
        <w:t>areas, broadly aligned wi</w:t>
      </w:r>
      <w:r w:rsidR="00E21854">
        <w:rPr>
          <w:rFonts w:ascii="Calibri" w:eastAsia="Calibri" w:hAnsi="Calibri" w:cs="Calibri"/>
          <w:sz w:val="24"/>
          <w:szCs w:val="24"/>
        </w:rPr>
        <w:t>th the principles of the UNCRPD</w:t>
      </w:r>
      <w:r w:rsidR="00361EAC">
        <w:rPr>
          <w:rFonts w:ascii="Calibri" w:eastAsia="Calibri" w:hAnsi="Calibri" w:cs="Calibri"/>
          <w:sz w:val="24"/>
          <w:szCs w:val="24"/>
        </w:rPr>
        <w:t>:</w:t>
      </w:r>
      <w:r w:rsidR="00E21854">
        <w:rPr>
          <w:rFonts w:ascii="Calibri" w:eastAsia="Calibri" w:hAnsi="Calibri" w:cs="Calibri"/>
          <w:noProof/>
          <w:sz w:val="24"/>
          <w:szCs w:val="24"/>
          <w:lang w:eastAsia="en-AU"/>
        </w:rPr>
        <w:drawing>
          <wp:inline distT="0" distB="0" distL="0" distR="0" wp14:anchorId="28524BD0" wp14:editId="5BE09455">
            <wp:extent cx="6591300" cy="3200400"/>
            <wp:effectExtent l="38100" t="0" r="19050" b="0"/>
            <wp:docPr id="1" name="Diagram 1" descr="6 boxes containig the 6 outcome areas of the National Disability Strategy including inclulsive and accessibile communties, rights protections,, justice and legislation, economic security, personal and community support, learning and skills, health and wellbeing" title="6 Strategy outcome area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91720" w:rsidRPr="0098142C" w:rsidRDefault="00691720" w:rsidP="00691720">
      <w:pPr>
        <w:spacing w:after="120" w:line="276" w:lineRule="auto"/>
        <w:rPr>
          <w:rFonts w:cs="Arial"/>
          <w:bCs/>
          <w:sz w:val="24"/>
          <w:szCs w:val="24"/>
        </w:rPr>
      </w:pPr>
      <w:r w:rsidRPr="0098142C">
        <w:rPr>
          <w:rFonts w:cstheme="minorHAnsi"/>
          <w:sz w:val="24"/>
          <w:szCs w:val="24"/>
        </w:rPr>
        <w:t xml:space="preserve">See </w:t>
      </w:r>
      <w:r w:rsidRPr="0098142C">
        <w:rPr>
          <w:rFonts w:cstheme="minorHAnsi"/>
          <w:b/>
          <w:sz w:val="24"/>
          <w:szCs w:val="24"/>
        </w:rPr>
        <w:t>Appendix 2</w:t>
      </w:r>
      <w:r w:rsidRPr="0098142C">
        <w:rPr>
          <w:rFonts w:cstheme="minorHAnsi"/>
          <w:sz w:val="24"/>
          <w:szCs w:val="24"/>
        </w:rPr>
        <w:t xml:space="preserve"> for further details of </w:t>
      </w:r>
      <w:r w:rsidRPr="0098142C">
        <w:rPr>
          <w:rFonts w:cs="Arial"/>
          <w:bCs/>
          <w:sz w:val="24"/>
          <w:szCs w:val="24"/>
        </w:rPr>
        <w:t xml:space="preserve">other related initiatives and </w:t>
      </w:r>
      <w:r>
        <w:rPr>
          <w:rFonts w:cs="Arial"/>
          <w:bCs/>
          <w:sz w:val="24"/>
          <w:szCs w:val="24"/>
        </w:rPr>
        <w:t xml:space="preserve">outcome </w:t>
      </w:r>
      <w:r w:rsidRPr="0098142C">
        <w:rPr>
          <w:rFonts w:cs="Arial"/>
          <w:bCs/>
          <w:sz w:val="24"/>
          <w:szCs w:val="24"/>
        </w:rPr>
        <w:t>indicators</w:t>
      </w:r>
      <w:r w:rsidRPr="0098142C">
        <w:rPr>
          <w:rFonts w:cs="Arial"/>
          <w:b/>
          <w:bCs/>
          <w:sz w:val="24"/>
          <w:szCs w:val="24"/>
        </w:rPr>
        <w:t xml:space="preserve"> </w:t>
      </w:r>
      <w:r w:rsidRPr="0098142C">
        <w:rPr>
          <w:rFonts w:cs="Arial"/>
          <w:bCs/>
          <w:sz w:val="24"/>
          <w:szCs w:val="24"/>
        </w:rPr>
        <w:t>from the National Disability Agreement and Productivity Commission.</w:t>
      </w:r>
    </w:p>
    <w:p w:rsidR="004E0C66" w:rsidRDefault="004E0C66" w:rsidP="00CA29DB">
      <w:pPr>
        <w:spacing w:after="0" w:line="276" w:lineRule="auto"/>
        <w:rPr>
          <w:rFonts w:cstheme="minorHAnsi"/>
          <w:sz w:val="24"/>
          <w:szCs w:val="24"/>
        </w:rPr>
      </w:pPr>
    </w:p>
    <w:p w:rsidR="00CA29DB" w:rsidRDefault="00CA29DB" w:rsidP="00CA29DB">
      <w:pPr>
        <w:spacing w:after="0" w:line="276" w:lineRule="auto"/>
        <w:rPr>
          <w:rFonts w:cstheme="minorHAnsi"/>
          <w:sz w:val="24"/>
          <w:szCs w:val="24"/>
        </w:rPr>
      </w:pPr>
      <w:r w:rsidRPr="00C903B8">
        <w:rPr>
          <w:rFonts w:cstheme="minorHAnsi"/>
          <w:sz w:val="24"/>
          <w:szCs w:val="24"/>
        </w:rPr>
        <w:t xml:space="preserve">The </w:t>
      </w:r>
      <w:r w:rsidRPr="00C903B8">
        <w:rPr>
          <w:rFonts w:cstheme="minorHAnsi"/>
          <w:i/>
          <w:sz w:val="24"/>
          <w:szCs w:val="24"/>
        </w:rPr>
        <w:t>NSW Implementation Plan 2012-2014</w:t>
      </w:r>
      <w:r w:rsidRPr="00C903B8">
        <w:rPr>
          <w:rFonts w:cstheme="minorHAnsi"/>
          <w:sz w:val="24"/>
          <w:szCs w:val="24"/>
        </w:rPr>
        <w:t xml:space="preserve"> was the first step in implementing the </w:t>
      </w:r>
      <w:r>
        <w:rPr>
          <w:rFonts w:cstheme="minorHAnsi"/>
          <w:sz w:val="24"/>
          <w:szCs w:val="24"/>
        </w:rPr>
        <w:t>Strategy</w:t>
      </w:r>
      <w:r w:rsidRPr="00C903B8">
        <w:rPr>
          <w:rFonts w:cstheme="minorHAnsi"/>
          <w:sz w:val="24"/>
          <w:szCs w:val="24"/>
        </w:rPr>
        <w:t xml:space="preserve"> in NSW.</w:t>
      </w:r>
      <w:r>
        <w:rPr>
          <w:rFonts w:cstheme="minorHAnsi"/>
          <w:sz w:val="24"/>
          <w:szCs w:val="24"/>
        </w:rPr>
        <w:t xml:space="preserve"> </w:t>
      </w:r>
      <w:r w:rsidRPr="00C903B8">
        <w:rPr>
          <w:rFonts w:cstheme="minorHAnsi"/>
          <w:sz w:val="24"/>
          <w:szCs w:val="24"/>
        </w:rPr>
        <w:t>This was followed</w:t>
      </w:r>
      <w:r w:rsidR="00010DEB">
        <w:rPr>
          <w:rFonts w:cstheme="minorHAnsi"/>
          <w:sz w:val="24"/>
          <w:szCs w:val="24"/>
        </w:rPr>
        <w:t xml:space="preserve"> </w:t>
      </w:r>
      <w:r w:rsidRPr="00C903B8">
        <w:rPr>
          <w:rFonts w:cstheme="minorHAnsi"/>
          <w:sz w:val="24"/>
          <w:szCs w:val="24"/>
        </w:rPr>
        <w:t xml:space="preserve">by the </w:t>
      </w:r>
      <w:r w:rsidR="00010DEB">
        <w:rPr>
          <w:rFonts w:cstheme="minorHAnsi"/>
          <w:sz w:val="24"/>
          <w:szCs w:val="24"/>
        </w:rPr>
        <w:t xml:space="preserve">introduction </w:t>
      </w:r>
      <w:r w:rsidRPr="00C903B8">
        <w:rPr>
          <w:rFonts w:cstheme="minorHAnsi"/>
          <w:sz w:val="24"/>
          <w:szCs w:val="24"/>
        </w:rPr>
        <w:t xml:space="preserve">of </w:t>
      </w:r>
      <w:r w:rsidRPr="00C903B8">
        <w:rPr>
          <w:rFonts w:cstheme="minorHAnsi"/>
          <w:i/>
          <w:sz w:val="24"/>
          <w:szCs w:val="24"/>
        </w:rPr>
        <w:t xml:space="preserve">the </w:t>
      </w:r>
      <w:hyperlink r:id="rId18" w:history="1">
        <w:r w:rsidRPr="007B1ADE">
          <w:rPr>
            <w:rStyle w:val="Hyperlink"/>
            <w:rFonts w:cstheme="minorHAnsi"/>
            <w:i/>
            <w:sz w:val="24"/>
            <w:szCs w:val="24"/>
          </w:rPr>
          <w:t>Disability Inclusion Act 2014</w:t>
        </w:r>
      </w:hyperlink>
      <w:r>
        <w:rPr>
          <w:rFonts w:cstheme="minorHAnsi"/>
          <w:i/>
          <w:sz w:val="24"/>
          <w:szCs w:val="24"/>
        </w:rPr>
        <w:t>,</w:t>
      </w:r>
      <w:r w:rsidRPr="00C903B8">
        <w:rPr>
          <w:rFonts w:cstheme="minorHAnsi"/>
          <w:sz w:val="24"/>
          <w:szCs w:val="24"/>
        </w:rPr>
        <w:t xml:space="preserve"> which provides a legislative framework for </w:t>
      </w:r>
      <w:r>
        <w:rPr>
          <w:rFonts w:cstheme="minorHAnsi"/>
          <w:sz w:val="24"/>
          <w:szCs w:val="24"/>
        </w:rPr>
        <w:t xml:space="preserve">disability inclusion planning </w:t>
      </w:r>
      <w:r w:rsidRPr="00C903B8">
        <w:rPr>
          <w:rFonts w:cstheme="minorHAnsi"/>
          <w:sz w:val="24"/>
          <w:szCs w:val="24"/>
        </w:rPr>
        <w:t xml:space="preserve">to drive </w:t>
      </w:r>
      <w:r>
        <w:rPr>
          <w:rFonts w:cstheme="minorHAnsi"/>
          <w:sz w:val="24"/>
          <w:szCs w:val="24"/>
        </w:rPr>
        <w:t xml:space="preserve">improvements in </w:t>
      </w:r>
      <w:r w:rsidRPr="00C903B8">
        <w:rPr>
          <w:rFonts w:cstheme="minorHAnsi"/>
          <w:sz w:val="24"/>
          <w:szCs w:val="24"/>
        </w:rPr>
        <w:t>access</w:t>
      </w:r>
      <w:r>
        <w:rPr>
          <w:rFonts w:cstheme="minorHAnsi"/>
          <w:sz w:val="24"/>
          <w:szCs w:val="24"/>
        </w:rPr>
        <w:t xml:space="preserve"> </w:t>
      </w:r>
      <w:r w:rsidRPr="00C903B8">
        <w:rPr>
          <w:rFonts w:cstheme="minorHAnsi"/>
          <w:sz w:val="24"/>
          <w:szCs w:val="24"/>
        </w:rPr>
        <w:t>and inclusion</w:t>
      </w:r>
      <w:r>
        <w:rPr>
          <w:rFonts w:cstheme="minorHAnsi"/>
          <w:sz w:val="24"/>
          <w:szCs w:val="24"/>
        </w:rPr>
        <w:t xml:space="preserve"> for citizens with disability </w:t>
      </w:r>
      <w:r w:rsidRPr="00C903B8">
        <w:rPr>
          <w:rFonts w:cstheme="minorHAnsi"/>
          <w:sz w:val="24"/>
          <w:szCs w:val="24"/>
        </w:rPr>
        <w:t>in NSW.</w:t>
      </w:r>
    </w:p>
    <w:p w:rsidR="00CA29DB" w:rsidRPr="00C903B8" w:rsidRDefault="00CA29DB" w:rsidP="00CA29DB">
      <w:pPr>
        <w:spacing w:after="0" w:line="276" w:lineRule="auto"/>
        <w:rPr>
          <w:rFonts w:cstheme="minorHAnsi"/>
          <w:sz w:val="24"/>
          <w:szCs w:val="24"/>
        </w:rPr>
      </w:pPr>
    </w:p>
    <w:p w:rsidR="003B77B5" w:rsidRDefault="00CA29DB" w:rsidP="00CA29DB">
      <w:pPr>
        <w:spacing w:after="60" w:line="276" w:lineRule="auto"/>
        <w:rPr>
          <w:rFonts w:cstheme="minorHAnsi"/>
          <w:szCs w:val="24"/>
        </w:rPr>
      </w:pPr>
      <w:r w:rsidRPr="00C903B8">
        <w:rPr>
          <w:rFonts w:cstheme="minorHAnsi"/>
          <w:sz w:val="24"/>
          <w:szCs w:val="24"/>
        </w:rPr>
        <w:t>The</w:t>
      </w:r>
      <w:r>
        <w:rPr>
          <w:rFonts w:cstheme="minorHAnsi"/>
          <w:sz w:val="24"/>
          <w:szCs w:val="24"/>
        </w:rPr>
        <w:t xml:space="preserve"> Disability Inclusion Act</w:t>
      </w:r>
      <w:r w:rsidRPr="00C903B8">
        <w:rPr>
          <w:rFonts w:cstheme="minorHAnsi"/>
          <w:sz w:val="24"/>
          <w:szCs w:val="24"/>
        </w:rPr>
        <w:t xml:space="preserve"> represented a shift from a focus on service delivery towards a human rights </w:t>
      </w:r>
      <w:r w:rsidR="00010DEB">
        <w:rPr>
          <w:rFonts w:cstheme="minorHAnsi"/>
          <w:sz w:val="24"/>
          <w:szCs w:val="24"/>
        </w:rPr>
        <w:t>approach</w:t>
      </w:r>
      <w:r w:rsidRPr="00C903B8">
        <w:rPr>
          <w:rFonts w:cstheme="minorHAnsi"/>
          <w:sz w:val="24"/>
          <w:szCs w:val="24"/>
        </w:rPr>
        <w:t xml:space="preserve"> based on the principles of the UNCRPD. It mandated the development of the </w:t>
      </w:r>
      <w:r w:rsidRPr="00835FC0">
        <w:rPr>
          <w:rFonts w:cstheme="minorHAnsi"/>
          <w:sz w:val="24"/>
          <w:szCs w:val="24"/>
        </w:rPr>
        <w:t>NSW Disability Inclusion Plan</w:t>
      </w:r>
      <w:r w:rsidRPr="00C903B8">
        <w:rPr>
          <w:rFonts w:cstheme="minorHAnsi"/>
          <w:sz w:val="24"/>
          <w:szCs w:val="24"/>
        </w:rPr>
        <w:t xml:space="preserve"> and for all public authorities and local councils to develop </w:t>
      </w:r>
      <w:r w:rsidRPr="00835FC0">
        <w:rPr>
          <w:rFonts w:cstheme="minorHAnsi"/>
          <w:sz w:val="24"/>
          <w:szCs w:val="24"/>
        </w:rPr>
        <w:t>Disability Inclusion Action Plans (DIAPs)</w:t>
      </w:r>
      <w:r w:rsidR="003B77B5">
        <w:rPr>
          <w:rFonts w:cstheme="minorHAnsi"/>
          <w:sz w:val="24"/>
          <w:szCs w:val="24"/>
        </w:rPr>
        <w:t xml:space="preserve"> </w:t>
      </w:r>
      <w:r w:rsidR="003B77B5" w:rsidRPr="00D77126">
        <w:rPr>
          <w:color w:val="000000"/>
          <w:sz w:val="24"/>
          <w:szCs w:val="25"/>
          <w:shd w:val="clear" w:color="auto" w:fill="FFFFFF"/>
        </w:rPr>
        <w:t xml:space="preserve">setting out the measures they would put in place to enable people with disability to access </w:t>
      </w:r>
      <w:r w:rsidR="003B77B5">
        <w:rPr>
          <w:color w:val="000000"/>
          <w:sz w:val="24"/>
          <w:szCs w:val="25"/>
          <w:shd w:val="clear" w:color="auto" w:fill="FFFFFF"/>
        </w:rPr>
        <w:t xml:space="preserve">community </w:t>
      </w:r>
      <w:r w:rsidR="003B77B5" w:rsidRPr="00D77126">
        <w:rPr>
          <w:color w:val="000000"/>
          <w:sz w:val="24"/>
          <w:szCs w:val="25"/>
          <w:shd w:val="clear" w:color="auto" w:fill="FFFFFF"/>
        </w:rPr>
        <w:t>supports and services, and participate fully in the community.</w:t>
      </w:r>
      <w:r w:rsidRPr="00D77126">
        <w:rPr>
          <w:rFonts w:cstheme="minorHAnsi"/>
          <w:szCs w:val="24"/>
        </w:rPr>
        <w:t xml:space="preserve"> </w:t>
      </w:r>
    </w:p>
    <w:p w:rsidR="006A0B71" w:rsidRPr="00D77126" w:rsidRDefault="006A0B71" w:rsidP="00CA29DB">
      <w:pPr>
        <w:spacing w:after="60" w:line="276" w:lineRule="auto"/>
        <w:rPr>
          <w:rFonts w:cstheme="minorHAnsi"/>
          <w:sz w:val="24"/>
          <w:szCs w:val="24"/>
        </w:rPr>
      </w:pPr>
    </w:p>
    <w:p w:rsidR="00CA29DB" w:rsidRPr="00C903B8" w:rsidRDefault="00745626" w:rsidP="00CA29DB">
      <w:pPr>
        <w:spacing w:after="60" w:line="276" w:lineRule="auto"/>
        <w:rPr>
          <w:rFonts w:cstheme="minorHAnsi"/>
          <w:sz w:val="24"/>
          <w:szCs w:val="24"/>
        </w:rPr>
      </w:pPr>
      <w:r w:rsidRPr="00D77126">
        <w:rPr>
          <w:sz w:val="24"/>
        </w:rPr>
        <w:lastRenderedPageBreak/>
        <w:t xml:space="preserve">Actions developed under </w:t>
      </w:r>
      <w:r w:rsidR="006A0B71" w:rsidRPr="00D77126">
        <w:rPr>
          <w:sz w:val="24"/>
        </w:rPr>
        <w:t>State and Territory disability plans, such as the NSW Disability Inclusion Plan, ‘work alongside the Federal level actions’ in relation to the Strategy.</w:t>
      </w:r>
      <w:r w:rsidR="006A0B71" w:rsidRPr="00D77126">
        <w:rPr>
          <w:rStyle w:val="FootnoteReference"/>
          <w:sz w:val="24"/>
        </w:rPr>
        <w:footnoteReference w:id="4"/>
      </w:r>
      <w:r w:rsidR="006A0B71" w:rsidRPr="00D77126">
        <w:rPr>
          <w:sz w:val="24"/>
        </w:rPr>
        <w:t xml:space="preserve"> </w:t>
      </w:r>
      <w:r w:rsidR="00CA29DB" w:rsidRPr="00C903B8">
        <w:rPr>
          <w:rFonts w:cstheme="minorHAnsi"/>
          <w:sz w:val="24"/>
          <w:szCs w:val="24"/>
        </w:rPr>
        <w:t>Th</w:t>
      </w:r>
      <w:r w:rsidR="00CA29DB">
        <w:rPr>
          <w:rFonts w:cstheme="minorHAnsi"/>
          <w:sz w:val="24"/>
          <w:szCs w:val="24"/>
        </w:rPr>
        <w:t xml:space="preserve">e NSW Disability Inclusion </w:t>
      </w:r>
      <w:r w:rsidR="00CA29DB" w:rsidRPr="00C903B8">
        <w:rPr>
          <w:rFonts w:cstheme="minorHAnsi"/>
          <w:sz w:val="24"/>
          <w:szCs w:val="24"/>
        </w:rPr>
        <w:t>Plan includes four focus areas:</w:t>
      </w:r>
    </w:p>
    <w:p w:rsidR="00CA29DB" w:rsidRPr="00C903B8" w:rsidRDefault="00CA29DB" w:rsidP="00CA29DB">
      <w:pPr>
        <w:pStyle w:val="ListParagraph"/>
        <w:numPr>
          <w:ilvl w:val="0"/>
          <w:numId w:val="4"/>
        </w:numPr>
        <w:spacing w:after="60" w:line="276" w:lineRule="auto"/>
        <w:rPr>
          <w:rFonts w:cstheme="minorHAnsi"/>
          <w:sz w:val="24"/>
          <w:szCs w:val="24"/>
        </w:rPr>
      </w:pPr>
      <w:r>
        <w:rPr>
          <w:rFonts w:cstheme="minorHAnsi"/>
          <w:sz w:val="24"/>
          <w:szCs w:val="24"/>
        </w:rPr>
        <w:t>d</w:t>
      </w:r>
      <w:r w:rsidRPr="00C903B8">
        <w:rPr>
          <w:rFonts w:cstheme="minorHAnsi"/>
          <w:sz w:val="24"/>
          <w:szCs w:val="24"/>
        </w:rPr>
        <w:t>eveloping positive community attitudes and behaviours</w:t>
      </w:r>
    </w:p>
    <w:p w:rsidR="00CA29DB" w:rsidRPr="00C903B8" w:rsidRDefault="00CA29DB" w:rsidP="00CA29DB">
      <w:pPr>
        <w:pStyle w:val="ListParagraph"/>
        <w:numPr>
          <w:ilvl w:val="0"/>
          <w:numId w:val="4"/>
        </w:numPr>
        <w:spacing w:after="60" w:line="276" w:lineRule="auto"/>
        <w:rPr>
          <w:rFonts w:cstheme="minorHAnsi"/>
          <w:sz w:val="24"/>
          <w:szCs w:val="24"/>
        </w:rPr>
      </w:pPr>
      <w:r>
        <w:rPr>
          <w:rFonts w:cstheme="minorHAnsi"/>
          <w:sz w:val="24"/>
          <w:szCs w:val="24"/>
        </w:rPr>
        <w:t>c</w:t>
      </w:r>
      <w:r w:rsidRPr="00C903B8">
        <w:rPr>
          <w:rFonts w:cstheme="minorHAnsi"/>
          <w:sz w:val="24"/>
          <w:szCs w:val="24"/>
        </w:rPr>
        <w:t>reating liveable communities</w:t>
      </w:r>
    </w:p>
    <w:p w:rsidR="00CA29DB" w:rsidRPr="00C903B8" w:rsidRDefault="00CA29DB" w:rsidP="00CA29DB">
      <w:pPr>
        <w:pStyle w:val="ListParagraph"/>
        <w:numPr>
          <w:ilvl w:val="0"/>
          <w:numId w:val="4"/>
        </w:numPr>
        <w:spacing w:after="60" w:line="276" w:lineRule="auto"/>
        <w:rPr>
          <w:rFonts w:cstheme="minorHAnsi"/>
          <w:sz w:val="24"/>
          <w:szCs w:val="24"/>
        </w:rPr>
      </w:pPr>
      <w:r>
        <w:rPr>
          <w:rFonts w:cstheme="minorHAnsi"/>
          <w:sz w:val="24"/>
          <w:szCs w:val="24"/>
        </w:rPr>
        <w:t>s</w:t>
      </w:r>
      <w:r w:rsidRPr="00C903B8">
        <w:rPr>
          <w:rFonts w:cstheme="minorHAnsi"/>
          <w:sz w:val="24"/>
          <w:szCs w:val="24"/>
        </w:rPr>
        <w:t>upporting access to meaningful employment</w:t>
      </w:r>
    </w:p>
    <w:p w:rsidR="00CA29DB" w:rsidRPr="00D77126" w:rsidRDefault="00CA29DB" w:rsidP="00D77126">
      <w:pPr>
        <w:pStyle w:val="ListParagraph"/>
        <w:numPr>
          <w:ilvl w:val="0"/>
          <w:numId w:val="4"/>
        </w:numPr>
        <w:spacing w:after="0" w:line="276" w:lineRule="auto"/>
        <w:rPr>
          <w:rFonts w:cstheme="minorHAnsi"/>
          <w:sz w:val="24"/>
          <w:szCs w:val="24"/>
        </w:rPr>
      </w:pPr>
      <w:r w:rsidRPr="00D77126">
        <w:rPr>
          <w:rFonts w:cstheme="minorHAnsi"/>
          <w:sz w:val="24"/>
          <w:szCs w:val="24"/>
        </w:rPr>
        <w:t>improving access to mainstream services through better systems and processes.</w:t>
      </w:r>
    </w:p>
    <w:p w:rsidR="00CA29DB" w:rsidRDefault="00CA29DB">
      <w:pPr>
        <w:spacing w:after="0" w:line="276" w:lineRule="auto"/>
        <w:rPr>
          <w:rFonts w:cstheme="minorHAnsi"/>
          <w:sz w:val="24"/>
          <w:szCs w:val="24"/>
        </w:rPr>
      </w:pPr>
    </w:p>
    <w:p w:rsidR="001F03A2" w:rsidRDefault="00094393">
      <w:pPr>
        <w:spacing w:after="0" w:line="276" w:lineRule="auto"/>
        <w:rPr>
          <w:rFonts w:cstheme="minorHAnsi"/>
          <w:sz w:val="24"/>
          <w:szCs w:val="24"/>
        </w:rPr>
      </w:pPr>
      <w:r>
        <w:rPr>
          <w:rFonts w:cstheme="minorHAnsi"/>
          <w:sz w:val="24"/>
          <w:szCs w:val="24"/>
        </w:rPr>
        <w:t>Over the decade, t</w:t>
      </w:r>
      <w:r w:rsidR="00745626">
        <w:rPr>
          <w:rFonts w:cstheme="minorHAnsi"/>
          <w:sz w:val="24"/>
          <w:szCs w:val="24"/>
        </w:rPr>
        <w:t>here ha</w:t>
      </w:r>
      <w:r w:rsidR="00702412">
        <w:rPr>
          <w:rFonts w:cstheme="minorHAnsi"/>
          <w:sz w:val="24"/>
          <w:szCs w:val="24"/>
        </w:rPr>
        <w:t>ve been two</w:t>
      </w:r>
      <w:r w:rsidR="00745626">
        <w:rPr>
          <w:rFonts w:cstheme="minorHAnsi"/>
          <w:sz w:val="24"/>
          <w:szCs w:val="24"/>
        </w:rPr>
        <w:t xml:space="preserve"> national progress reports </w:t>
      </w:r>
      <w:r w:rsidR="00702412">
        <w:rPr>
          <w:rFonts w:cstheme="minorHAnsi"/>
          <w:sz w:val="24"/>
          <w:szCs w:val="24"/>
        </w:rPr>
        <w:t xml:space="preserve">to COAG </w:t>
      </w:r>
      <w:r>
        <w:rPr>
          <w:rFonts w:cstheme="minorHAnsi"/>
          <w:sz w:val="24"/>
          <w:szCs w:val="24"/>
        </w:rPr>
        <w:t>in relation to the Strategy</w:t>
      </w:r>
      <w:r w:rsidR="00702412">
        <w:rPr>
          <w:rFonts w:cstheme="minorHAnsi"/>
          <w:sz w:val="24"/>
          <w:szCs w:val="24"/>
        </w:rPr>
        <w:t xml:space="preserve">, a UNSW review for the Department of Social Services </w:t>
      </w:r>
      <w:r w:rsidR="00665FB4">
        <w:rPr>
          <w:rFonts w:cstheme="minorHAnsi"/>
          <w:sz w:val="24"/>
          <w:szCs w:val="24"/>
        </w:rPr>
        <w:t xml:space="preserve">(DSS) </w:t>
      </w:r>
      <w:r w:rsidR="00702412">
        <w:rPr>
          <w:rFonts w:cstheme="minorHAnsi"/>
          <w:sz w:val="24"/>
          <w:szCs w:val="24"/>
        </w:rPr>
        <w:t xml:space="preserve">on national implementation, </w:t>
      </w:r>
      <w:r w:rsidR="001F03A2">
        <w:rPr>
          <w:rFonts w:cstheme="minorHAnsi"/>
          <w:sz w:val="24"/>
          <w:szCs w:val="24"/>
        </w:rPr>
        <w:t xml:space="preserve">and </w:t>
      </w:r>
      <w:r w:rsidR="00702412">
        <w:rPr>
          <w:rFonts w:cstheme="minorHAnsi"/>
          <w:sz w:val="24"/>
          <w:szCs w:val="24"/>
        </w:rPr>
        <w:t>a Federal Senate Inquiry</w:t>
      </w:r>
      <w:r w:rsidR="001F03A2">
        <w:rPr>
          <w:rFonts w:cstheme="minorHAnsi"/>
          <w:sz w:val="24"/>
          <w:szCs w:val="24"/>
        </w:rPr>
        <w:t xml:space="preserve">. </w:t>
      </w:r>
      <w:r w:rsidR="00702412">
        <w:rPr>
          <w:rFonts w:cstheme="minorHAnsi"/>
          <w:sz w:val="24"/>
          <w:szCs w:val="24"/>
        </w:rPr>
        <w:t xml:space="preserve">The final </w:t>
      </w:r>
      <w:r w:rsidR="001F03A2">
        <w:rPr>
          <w:rFonts w:cstheme="minorHAnsi"/>
          <w:sz w:val="24"/>
          <w:szCs w:val="24"/>
        </w:rPr>
        <w:t xml:space="preserve">national </w:t>
      </w:r>
      <w:r w:rsidR="00702412">
        <w:rPr>
          <w:rFonts w:cstheme="minorHAnsi"/>
          <w:sz w:val="24"/>
          <w:szCs w:val="24"/>
        </w:rPr>
        <w:t xml:space="preserve">progress report to COAG has been drafted, </w:t>
      </w:r>
      <w:r w:rsidR="001F03A2">
        <w:rPr>
          <w:rFonts w:cstheme="minorHAnsi"/>
          <w:sz w:val="24"/>
          <w:szCs w:val="24"/>
        </w:rPr>
        <w:t xml:space="preserve">but has not yet been publicly released. Key information about the implementation of the Strategy in NSW has fed into the above national reports; there has also been a review of the NSW Disability Inclusion Plan. </w:t>
      </w:r>
      <w:r w:rsidR="00665FB4">
        <w:rPr>
          <w:rFonts w:cstheme="minorHAnsi"/>
          <w:sz w:val="24"/>
          <w:szCs w:val="24"/>
        </w:rPr>
        <w:t xml:space="preserve">(See </w:t>
      </w:r>
      <w:r w:rsidR="00665FB4" w:rsidRPr="0098142C">
        <w:rPr>
          <w:rFonts w:cstheme="minorHAnsi"/>
          <w:b/>
          <w:sz w:val="24"/>
          <w:szCs w:val="24"/>
        </w:rPr>
        <w:t xml:space="preserve">Appendix </w:t>
      </w:r>
      <w:r w:rsidR="00691720">
        <w:rPr>
          <w:rFonts w:cstheme="minorHAnsi"/>
          <w:b/>
          <w:sz w:val="24"/>
          <w:szCs w:val="24"/>
        </w:rPr>
        <w:t>3</w:t>
      </w:r>
      <w:r w:rsidR="00665FB4">
        <w:rPr>
          <w:rFonts w:cstheme="minorHAnsi"/>
          <w:sz w:val="24"/>
          <w:szCs w:val="24"/>
        </w:rPr>
        <w:t xml:space="preserve"> for further details of relevant reports and reviews). </w:t>
      </w:r>
    </w:p>
    <w:p w:rsidR="004E0C66" w:rsidRDefault="004E0C66">
      <w:pPr>
        <w:spacing w:after="0" w:line="276" w:lineRule="auto"/>
        <w:rPr>
          <w:rFonts w:cstheme="minorHAnsi"/>
          <w:sz w:val="24"/>
          <w:szCs w:val="24"/>
        </w:rPr>
      </w:pPr>
    </w:p>
    <w:p w:rsidR="00421BF1" w:rsidRDefault="001F03A2">
      <w:pPr>
        <w:spacing w:after="0" w:line="276" w:lineRule="auto"/>
        <w:rPr>
          <w:rFonts w:cstheme="minorHAnsi"/>
          <w:sz w:val="24"/>
          <w:szCs w:val="24"/>
        </w:rPr>
      </w:pPr>
      <w:r>
        <w:rPr>
          <w:rFonts w:cstheme="minorHAnsi"/>
          <w:sz w:val="24"/>
          <w:szCs w:val="24"/>
        </w:rPr>
        <w:t xml:space="preserve">The current focus is on the development of the next Strategy. </w:t>
      </w:r>
      <w:r w:rsidR="00665FB4">
        <w:rPr>
          <w:rFonts w:cstheme="minorHAnsi"/>
          <w:sz w:val="24"/>
          <w:szCs w:val="24"/>
        </w:rPr>
        <w:t xml:space="preserve">In April-July 2019, DSS conducted initial consultations with people with disability and other stakeholders, and released a consultation report in December 2019. Further consultations are currently underway until 30 September 2020, </w:t>
      </w:r>
      <w:r w:rsidR="00183BC5">
        <w:rPr>
          <w:rFonts w:cstheme="minorHAnsi"/>
          <w:sz w:val="24"/>
          <w:szCs w:val="24"/>
        </w:rPr>
        <w:t xml:space="preserve">to gain feedback </w:t>
      </w:r>
      <w:r w:rsidR="00665FB4">
        <w:rPr>
          <w:rFonts w:cstheme="minorHAnsi"/>
          <w:sz w:val="24"/>
          <w:szCs w:val="24"/>
        </w:rPr>
        <w:t xml:space="preserve">on </w:t>
      </w:r>
      <w:r w:rsidR="00183BC5">
        <w:rPr>
          <w:rFonts w:cstheme="minorHAnsi"/>
          <w:sz w:val="24"/>
          <w:szCs w:val="24"/>
        </w:rPr>
        <w:t>a</w:t>
      </w:r>
      <w:r w:rsidR="00665FB4">
        <w:rPr>
          <w:rFonts w:cstheme="minorHAnsi"/>
          <w:sz w:val="24"/>
          <w:szCs w:val="24"/>
        </w:rPr>
        <w:t xml:space="preserve"> National Disability Strategy Position Paper. </w:t>
      </w:r>
      <w:r w:rsidR="00183BC5">
        <w:rPr>
          <w:rFonts w:cstheme="minorHAnsi"/>
          <w:sz w:val="24"/>
          <w:szCs w:val="24"/>
        </w:rPr>
        <w:t xml:space="preserve">(See </w:t>
      </w:r>
      <w:r w:rsidR="00183BC5" w:rsidRPr="0098142C">
        <w:rPr>
          <w:rFonts w:cstheme="minorHAnsi"/>
          <w:b/>
          <w:sz w:val="24"/>
          <w:szCs w:val="24"/>
        </w:rPr>
        <w:t xml:space="preserve">Appendix </w:t>
      </w:r>
      <w:r w:rsidR="00691720">
        <w:rPr>
          <w:rFonts w:cstheme="minorHAnsi"/>
          <w:b/>
          <w:sz w:val="24"/>
          <w:szCs w:val="24"/>
        </w:rPr>
        <w:t>4</w:t>
      </w:r>
      <w:r w:rsidR="00183BC5">
        <w:rPr>
          <w:rFonts w:cstheme="minorHAnsi"/>
          <w:sz w:val="24"/>
          <w:szCs w:val="24"/>
        </w:rPr>
        <w:t xml:space="preserve"> for more information on the development of the next Strategy).</w:t>
      </w:r>
      <w:r w:rsidR="00B42833" w:rsidDel="002F7257">
        <w:rPr>
          <w:rFonts w:cstheme="minorHAnsi"/>
          <w:sz w:val="24"/>
          <w:szCs w:val="24"/>
        </w:rPr>
        <w:t xml:space="preserve"> </w:t>
      </w:r>
      <w:r w:rsidR="00B42833">
        <w:rPr>
          <w:rFonts w:cstheme="minorHAnsi"/>
          <w:sz w:val="24"/>
          <w:szCs w:val="24"/>
        </w:rPr>
        <w:br/>
      </w:r>
    </w:p>
    <w:p w:rsidR="00EC24F3" w:rsidRDefault="004E2A81" w:rsidP="00B42833">
      <w:pPr>
        <w:spacing w:after="0" w:line="276" w:lineRule="auto"/>
        <w:rPr>
          <w:rFonts w:cstheme="minorHAnsi"/>
          <w:sz w:val="24"/>
          <w:szCs w:val="24"/>
        </w:rPr>
      </w:pPr>
      <w:r>
        <w:rPr>
          <w:rFonts w:cstheme="minorHAnsi"/>
          <w:sz w:val="24"/>
          <w:szCs w:val="24"/>
        </w:rPr>
        <w:t xml:space="preserve">Against this background, the ADC is keen to </w:t>
      </w:r>
      <w:r w:rsidR="00C35A3B">
        <w:rPr>
          <w:rFonts w:cstheme="minorHAnsi"/>
          <w:sz w:val="24"/>
          <w:szCs w:val="24"/>
        </w:rPr>
        <w:t xml:space="preserve">ensure that its </w:t>
      </w:r>
      <w:r w:rsidR="00EC24F3">
        <w:rPr>
          <w:rFonts w:cstheme="minorHAnsi"/>
          <w:sz w:val="24"/>
          <w:szCs w:val="24"/>
        </w:rPr>
        <w:t xml:space="preserve">legislated </w:t>
      </w:r>
      <w:r w:rsidR="00C35A3B">
        <w:rPr>
          <w:rFonts w:cstheme="minorHAnsi"/>
          <w:sz w:val="24"/>
          <w:szCs w:val="24"/>
        </w:rPr>
        <w:t>work to ‘monitor, assess and report on’ the implementation of the Strategy in NSW</w:t>
      </w:r>
      <w:r w:rsidR="00EC24F3">
        <w:rPr>
          <w:rFonts w:cstheme="minorHAnsi"/>
          <w:sz w:val="24"/>
          <w:szCs w:val="24"/>
        </w:rPr>
        <w:t>:</w:t>
      </w:r>
    </w:p>
    <w:p w:rsidR="00EC24F3" w:rsidRDefault="006950F5" w:rsidP="009505D2">
      <w:pPr>
        <w:pStyle w:val="ListParagraph"/>
        <w:numPr>
          <w:ilvl w:val="0"/>
          <w:numId w:val="37"/>
        </w:numPr>
        <w:spacing w:after="0" w:line="240" w:lineRule="auto"/>
        <w:rPr>
          <w:rFonts w:cstheme="minorHAnsi"/>
          <w:sz w:val="24"/>
          <w:szCs w:val="24"/>
        </w:rPr>
      </w:pPr>
      <w:r w:rsidRPr="009505D2">
        <w:rPr>
          <w:rFonts w:cstheme="minorHAnsi"/>
          <w:sz w:val="24"/>
          <w:szCs w:val="24"/>
        </w:rPr>
        <w:t>is informed by NSW citizens with disability and their supporters</w:t>
      </w:r>
    </w:p>
    <w:p w:rsidR="00421BF1" w:rsidRDefault="00421BF1" w:rsidP="009505D2">
      <w:pPr>
        <w:pStyle w:val="ListParagraph"/>
        <w:numPr>
          <w:ilvl w:val="0"/>
          <w:numId w:val="37"/>
        </w:numPr>
        <w:spacing w:after="0" w:line="240" w:lineRule="auto"/>
        <w:rPr>
          <w:rFonts w:cstheme="minorHAnsi"/>
          <w:sz w:val="24"/>
          <w:szCs w:val="24"/>
        </w:rPr>
      </w:pPr>
      <w:r>
        <w:rPr>
          <w:rFonts w:cstheme="minorHAnsi"/>
          <w:sz w:val="24"/>
          <w:szCs w:val="24"/>
        </w:rPr>
        <w:t xml:space="preserve">does not </w:t>
      </w:r>
      <w:r w:rsidRPr="006F3E3B">
        <w:rPr>
          <w:rFonts w:cstheme="minorHAnsi"/>
          <w:sz w:val="24"/>
          <w:szCs w:val="24"/>
        </w:rPr>
        <w:t>unnecessarily duplicate previous reports and reviews</w:t>
      </w:r>
    </w:p>
    <w:p w:rsidR="00421BF1" w:rsidRDefault="00421BF1" w:rsidP="009505D2">
      <w:pPr>
        <w:pStyle w:val="ListParagraph"/>
        <w:numPr>
          <w:ilvl w:val="0"/>
          <w:numId w:val="37"/>
        </w:numPr>
        <w:spacing w:after="0" w:line="240" w:lineRule="auto"/>
        <w:rPr>
          <w:rFonts w:cstheme="minorHAnsi"/>
          <w:sz w:val="24"/>
          <w:szCs w:val="24"/>
        </w:rPr>
      </w:pPr>
      <w:r>
        <w:rPr>
          <w:rFonts w:cstheme="minorHAnsi"/>
          <w:sz w:val="24"/>
          <w:szCs w:val="24"/>
        </w:rPr>
        <w:t xml:space="preserve">adds </w:t>
      </w:r>
      <w:r w:rsidRPr="006F3E3B">
        <w:rPr>
          <w:rFonts w:cstheme="minorHAnsi"/>
          <w:sz w:val="24"/>
          <w:szCs w:val="24"/>
        </w:rPr>
        <w:t>value to national and NSW activities in relation to the Strategy (current and future)</w:t>
      </w:r>
    </w:p>
    <w:p w:rsidR="00421BF1" w:rsidRPr="009505D2" w:rsidRDefault="00421BF1" w:rsidP="009505D2">
      <w:pPr>
        <w:pStyle w:val="ListParagraph"/>
        <w:numPr>
          <w:ilvl w:val="0"/>
          <w:numId w:val="37"/>
        </w:numPr>
        <w:spacing w:after="0" w:line="240" w:lineRule="auto"/>
        <w:rPr>
          <w:rFonts w:cstheme="minorHAnsi"/>
          <w:sz w:val="24"/>
          <w:szCs w:val="24"/>
        </w:rPr>
      </w:pPr>
      <w:r>
        <w:rPr>
          <w:rFonts w:cstheme="minorHAnsi"/>
          <w:sz w:val="24"/>
          <w:szCs w:val="24"/>
        </w:rPr>
        <w:t xml:space="preserve">informs </w:t>
      </w:r>
      <w:r w:rsidRPr="006F3E3B">
        <w:rPr>
          <w:rFonts w:cstheme="minorHAnsi"/>
          <w:sz w:val="24"/>
          <w:szCs w:val="24"/>
        </w:rPr>
        <w:t>improvements in the measurement of outcomes for NSW citizens with disability.</w:t>
      </w:r>
    </w:p>
    <w:p w:rsidR="005C61BE" w:rsidRPr="00421BF1" w:rsidRDefault="005C61BE" w:rsidP="009505D2">
      <w:pPr>
        <w:pStyle w:val="ListParagraph"/>
        <w:spacing w:after="0" w:line="240" w:lineRule="auto"/>
        <w:rPr>
          <w:rFonts w:ascii="Arial Black" w:hAnsi="Arial Black"/>
          <w:color w:val="002060"/>
          <w:sz w:val="32"/>
          <w:szCs w:val="32"/>
        </w:rPr>
      </w:pPr>
      <w:r w:rsidRPr="00421BF1">
        <w:rPr>
          <w:rFonts w:ascii="Arial Black" w:hAnsi="Arial Black"/>
          <w:color w:val="002060"/>
          <w:sz w:val="32"/>
          <w:szCs w:val="32"/>
        </w:rPr>
        <w:br w:type="page"/>
      </w:r>
    </w:p>
    <w:p w:rsidR="00C13EBA" w:rsidRPr="00954D84" w:rsidRDefault="00C13EBA" w:rsidP="009505D2">
      <w:pPr>
        <w:pStyle w:val="Heading1"/>
        <w:numPr>
          <w:ilvl w:val="0"/>
          <w:numId w:val="36"/>
        </w:numPr>
        <w:spacing w:before="0" w:after="120"/>
        <w:rPr>
          <w:rFonts w:ascii="Arial Black" w:hAnsi="Arial Black"/>
          <w:b/>
          <w:bCs/>
          <w:sz w:val="40"/>
          <w:szCs w:val="40"/>
        </w:rPr>
      </w:pPr>
      <w:bookmarkStart w:id="3" w:name="_Toc50989014"/>
      <w:r w:rsidRPr="00954D84">
        <w:rPr>
          <w:rFonts w:ascii="Arial Black" w:hAnsi="Arial Black"/>
          <w:b/>
          <w:bCs/>
          <w:sz w:val="40"/>
          <w:szCs w:val="40"/>
        </w:rPr>
        <w:lastRenderedPageBreak/>
        <w:t>Establishing and conducting the ADC Standing Review</w:t>
      </w:r>
      <w:bookmarkEnd w:id="3"/>
      <w:r w:rsidRPr="00954D84">
        <w:rPr>
          <w:rFonts w:ascii="Arial Black" w:hAnsi="Arial Black"/>
          <w:b/>
          <w:bCs/>
          <w:sz w:val="40"/>
          <w:szCs w:val="40"/>
        </w:rPr>
        <w:t xml:space="preserve"> </w:t>
      </w:r>
    </w:p>
    <w:p w:rsidR="00AE3B27" w:rsidRDefault="008D40F4">
      <w:pPr>
        <w:spacing w:line="276" w:lineRule="auto"/>
        <w:rPr>
          <w:sz w:val="24"/>
          <w:szCs w:val="24"/>
          <w:shd w:val="clear" w:color="auto" w:fill="FFFFFF"/>
        </w:rPr>
      </w:pPr>
      <w:r w:rsidRPr="00D77126">
        <w:rPr>
          <w:sz w:val="24"/>
          <w:szCs w:val="24"/>
          <w:shd w:val="clear" w:color="auto" w:fill="FFFFFF"/>
        </w:rPr>
        <w:t xml:space="preserve">As outlined, the ADC intends to fulfil its function of monitoring, assessing and reporting on the implementation of the Strategy in NSW by conducting a Standing Review. </w:t>
      </w:r>
    </w:p>
    <w:p w:rsidR="006A738D" w:rsidRDefault="00EE36D7">
      <w:pPr>
        <w:spacing w:line="276" w:lineRule="auto"/>
        <w:rPr>
          <w:rFonts w:ascii="Calibri" w:eastAsia="Calibri" w:hAnsi="Calibri" w:cs="Arial"/>
          <w:color w:val="000000"/>
          <w:sz w:val="24"/>
          <w:szCs w:val="24"/>
          <w:lang w:eastAsia="en-AU"/>
        </w:rPr>
      </w:pPr>
      <w:r>
        <w:rPr>
          <w:sz w:val="24"/>
          <w:szCs w:val="24"/>
        </w:rPr>
        <w:t>The b</w:t>
      </w:r>
      <w:r w:rsidR="00245E67">
        <w:rPr>
          <w:sz w:val="24"/>
          <w:szCs w:val="24"/>
        </w:rPr>
        <w:t xml:space="preserve">elow table outlines </w:t>
      </w:r>
      <w:r w:rsidR="00AE3B27">
        <w:rPr>
          <w:sz w:val="24"/>
          <w:szCs w:val="24"/>
        </w:rPr>
        <w:t>the ADC’s proposed approach to undertaking this work.</w:t>
      </w:r>
      <w:r w:rsidR="006A738D" w:rsidRPr="00DD3E61">
        <w:rPr>
          <w:rFonts w:ascii="Calibri" w:eastAsia="Calibri" w:hAnsi="Calibri" w:cs="Arial"/>
          <w:color w:val="000000"/>
          <w:sz w:val="24"/>
          <w:szCs w:val="24"/>
          <w:lang w:eastAsia="en-AU"/>
        </w:rPr>
        <w:t xml:space="preserve"> </w:t>
      </w:r>
    </w:p>
    <w:tbl>
      <w:tblPr>
        <w:tblStyle w:val="TableGrid"/>
        <w:tblW w:w="0" w:type="auto"/>
        <w:tblLook w:val="04A0" w:firstRow="1" w:lastRow="0" w:firstColumn="1" w:lastColumn="0" w:noHBand="0" w:noVBand="1"/>
        <w:tblCaption w:val="ADC's approach to undertaking the Standing review"/>
        <w:tblDescription w:val="Outlines the approaches ADC will take to the establishment of a Standing Review in terms of scope, timeframe, frameworks required"/>
      </w:tblPr>
      <w:tblGrid>
        <w:gridCol w:w="1914"/>
        <w:gridCol w:w="8280"/>
      </w:tblGrid>
      <w:tr w:rsidR="00E21854" w:rsidRPr="00E21854" w:rsidTr="00421BF1">
        <w:trPr>
          <w:tblHeader/>
        </w:trPr>
        <w:tc>
          <w:tcPr>
            <w:tcW w:w="1914" w:type="dxa"/>
            <w:shd w:val="clear" w:color="auto" w:fill="002060"/>
          </w:tcPr>
          <w:p w:rsidR="00245E67" w:rsidRPr="00F60B4C" w:rsidRDefault="00E21854">
            <w:pPr>
              <w:rPr>
                <w:rFonts w:eastAsia="Calibri" w:cs="Arial"/>
                <w:b/>
                <w:caps/>
                <w:color w:val="FFFFFF" w:themeColor="background1"/>
                <w:lang w:eastAsia="en-AU"/>
              </w:rPr>
            </w:pPr>
            <w:r w:rsidRPr="00F60B4C">
              <w:rPr>
                <w:rFonts w:eastAsia="Calibri" w:cs="Arial"/>
                <w:b/>
                <w:caps/>
                <w:color w:val="FFFFFF" w:themeColor="background1"/>
                <w:lang w:eastAsia="en-AU"/>
              </w:rPr>
              <w:t>Approach</w:t>
            </w:r>
          </w:p>
        </w:tc>
        <w:tc>
          <w:tcPr>
            <w:tcW w:w="8280" w:type="dxa"/>
            <w:shd w:val="clear" w:color="auto" w:fill="002060"/>
          </w:tcPr>
          <w:p w:rsidR="00245E67" w:rsidRDefault="005C61BE">
            <w:pPr>
              <w:rPr>
                <w:rFonts w:eastAsia="Calibri" w:cs="Arial"/>
                <w:b/>
                <w:caps/>
                <w:color w:val="FFFFFF" w:themeColor="background1"/>
                <w:lang w:eastAsia="en-AU"/>
              </w:rPr>
            </w:pPr>
            <w:r w:rsidRPr="00F60B4C">
              <w:rPr>
                <w:rFonts w:eastAsia="Calibri" w:cs="Arial"/>
                <w:b/>
                <w:caps/>
                <w:color w:val="FFFFFF" w:themeColor="background1"/>
                <w:lang w:eastAsia="en-AU"/>
              </w:rPr>
              <w:t xml:space="preserve">Outline </w:t>
            </w:r>
          </w:p>
          <w:p w:rsidR="00F57F02" w:rsidRPr="00F60B4C" w:rsidRDefault="00F57F02">
            <w:pPr>
              <w:rPr>
                <w:rFonts w:eastAsia="Calibri" w:cs="Arial"/>
                <w:b/>
                <w:caps/>
                <w:color w:val="FFFFFF" w:themeColor="background1"/>
                <w:lang w:eastAsia="en-AU"/>
              </w:rPr>
            </w:pPr>
          </w:p>
        </w:tc>
      </w:tr>
      <w:tr w:rsidR="00245E67" w:rsidTr="00421BF1">
        <w:trPr>
          <w:trHeight w:val="2402"/>
        </w:trPr>
        <w:tc>
          <w:tcPr>
            <w:tcW w:w="1914" w:type="dxa"/>
            <w:shd w:val="clear" w:color="auto" w:fill="002060"/>
          </w:tcPr>
          <w:p w:rsidR="00245E67" w:rsidRPr="00F60B4C" w:rsidRDefault="00245E67">
            <w:pPr>
              <w:rPr>
                <w:rFonts w:eastAsia="Calibri" w:cs="Arial"/>
                <w:b/>
                <w:color w:val="FFFFFF" w:themeColor="background1"/>
                <w:lang w:eastAsia="en-AU"/>
              </w:rPr>
            </w:pPr>
            <w:r w:rsidRPr="00F60B4C">
              <w:rPr>
                <w:rFonts w:eastAsia="Calibri" w:cs="Arial"/>
                <w:b/>
                <w:color w:val="FFFFFF" w:themeColor="background1"/>
                <w:lang w:eastAsia="en-AU"/>
              </w:rPr>
              <w:t xml:space="preserve">Scope </w:t>
            </w:r>
          </w:p>
        </w:tc>
        <w:tc>
          <w:tcPr>
            <w:tcW w:w="8280" w:type="dxa"/>
          </w:tcPr>
          <w:p w:rsidR="00245E67" w:rsidRPr="00835FC0" w:rsidRDefault="00E21854">
            <w:pPr>
              <w:spacing w:line="276" w:lineRule="auto"/>
              <w:rPr>
                <w:rFonts w:eastAsia="Times New Roman" w:cs="Arial"/>
                <w:color w:val="000000"/>
                <w:lang w:eastAsia="en-GB"/>
              </w:rPr>
            </w:pPr>
            <w:r w:rsidRPr="00835FC0">
              <w:rPr>
                <w:rFonts w:eastAsia="Calibri" w:cs="Arial"/>
                <w:color w:val="000000"/>
                <w:lang w:eastAsia="en-AU"/>
              </w:rPr>
              <w:t xml:space="preserve">The </w:t>
            </w:r>
            <w:r w:rsidR="005F3D1B" w:rsidRPr="00835FC0">
              <w:rPr>
                <w:rFonts w:eastAsia="Calibri" w:cs="Arial"/>
                <w:color w:val="000000"/>
                <w:lang w:eastAsia="en-AU"/>
              </w:rPr>
              <w:t xml:space="preserve">ADC’s </w:t>
            </w:r>
            <w:r w:rsidRPr="00835FC0">
              <w:rPr>
                <w:rFonts w:eastAsia="Calibri" w:cs="Arial"/>
                <w:color w:val="000000"/>
                <w:lang w:eastAsia="en-AU"/>
              </w:rPr>
              <w:t xml:space="preserve">Standing Review </w:t>
            </w:r>
            <w:r w:rsidR="00DE23EA" w:rsidRPr="00835FC0">
              <w:rPr>
                <w:rFonts w:eastAsia="Calibri" w:cs="Arial"/>
                <w:color w:val="000000"/>
                <w:lang w:eastAsia="en-AU"/>
              </w:rPr>
              <w:t xml:space="preserve">will focus on </w:t>
            </w:r>
            <w:r w:rsidR="00245E67" w:rsidRPr="00835FC0">
              <w:rPr>
                <w:rFonts w:eastAsia="Times New Roman" w:cs="Arial"/>
                <w:color w:val="000000"/>
                <w:lang w:eastAsia="en-GB"/>
              </w:rPr>
              <w:t xml:space="preserve">the NSW </w:t>
            </w:r>
            <w:r w:rsidR="00EE36D7" w:rsidRPr="00835FC0">
              <w:rPr>
                <w:rFonts w:eastAsia="Times New Roman" w:cs="Arial"/>
                <w:color w:val="000000"/>
                <w:lang w:eastAsia="en-GB"/>
              </w:rPr>
              <w:t>G</w:t>
            </w:r>
            <w:r w:rsidR="00245E67" w:rsidRPr="00835FC0">
              <w:rPr>
                <w:rFonts w:eastAsia="Times New Roman" w:cs="Arial"/>
                <w:color w:val="000000"/>
                <w:lang w:eastAsia="en-GB"/>
              </w:rPr>
              <w:t xml:space="preserve">overnment’s ongoing commitment to the implementation of the </w:t>
            </w:r>
            <w:r w:rsidR="00EE36D7" w:rsidRPr="00835FC0">
              <w:rPr>
                <w:rFonts w:eastAsia="Times New Roman" w:cs="Arial"/>
                <w:color w:val="000000"/>
                <w:lang w:eastAsia="en-GB"/>
              </w:rPr>
              <w:t>Strategy</w:t>
            </w:r>
            <w:r w:rsidR="00245E67" w:rsidRPr="00835FC0">
              <w:rPr>
                <w:rFonts w:eastAsia="Times New Roman" w:cs="Arial"/>
                <w:color w:val="000000"/>
                <w:lang w:eastAsia="en-GB"/>
              </w:rPr>
              <w:t xml:space="preserve"> through </w:t>
            </w:r>
            <w:r w:rsidR="00EE36D7" w:rsidRPr="00835FC0">
              <w:rPr>
                <w:rFonts w:eastAsia="Times New Roman" w:cs="Arial"/>
                <w:color w:val="000000"/>
                <w:lang w:eastAsia="en-GB"/>
              </w:rPr>
              <w:t>its</w:t>
            </w:r>
            <w:r w:rsidR="00245E67" w:rsidRPr="00835FC0">
              <w:rPr>
                <w:rFonts w:eastAsia="Times New Roman" w:cs="Arial"/>
                <w:color w:val="000000"/>
                <w:lang w:eastAsia="en-GB"/>
              </w:rPr>
              <w:t xml:space="preserve"> policies, programs and services to people with disability that remove barriers to inclusion for people with disability</w:t>
            </w:r>
            <w:r w:rsidR="00EE36D7" w:rsidRPr="00835FC0">
              <w:rPr>
                <w:rFonts w:eastAsia="Times New Roman" w:cs="Arial"/>
                <w:color w:val="000000"/>
                <w:lang w:eastAsia="en-GB"/>
              </w:rPr>
              <w:t>.</w:t>
            </w:r>
          </w:p>
          <w:p w:rsidR="00245E67" w:rsidRPr="00402BE5" w:rsidRDefault="00245E67">
            <w:pPr>
              <w:spacing w:line="276" w:lineRule="auto"/>
              <w:ind w:left="360"/>
              <w:rPr>
                <w:rFonts w:eastAsia="Times New Roman" w:cs="Arial"/>
                <w:color w:val="000000"/>
                <w:highlight w:val="cyan"/>
                <w:lang w:eastAsia="en-GB"/>
              </w:rPr>
            </w:pPr>
          </w:p>
          <w:p w:rsidR="00E21854" w:rsidRPr="00F60B4C" w:rsidRDefault="00E21854">
            <w:pPr>
              <w:spacing w:line="276" w:lineRule="auto"/>
              <w:rPr>
                <w:rFonts w:eastAsia="Times New Roman" w:cs="Arial"/>
                <w:lang w:val="en-US" w:eastAsia="en-GB"/>
              </w:rPr>
            </w:pPr>
            <w:r w:rsidRPr="00F60B4C">
              <w:rPr>
                <w:rFonts w:eastAsia="Times New Roman" w:cs="Arial"/>
                <w:lang w:val="en-US" w:eastAsia="en-GB"/>
              </w:rPr>
              <w:t>The following items are out of scope for th</w:t>
            </w:r>
            <w:r w:rsidR="00EE36D7">
              <w:rPr>
                <w:rFonts w:eastAsia="Times New Roman" w:cs="Arial"/>
                <w:lang w:val="en-US" w:eastAsia="en-GB"/>
              </w:rPr>
              <w:t>e Standing Review</w:t>
            </w:r>
            <w:r w:rsidRPr="00F60B4C">
              <w:rPr>
                <w:rFonts w:eastAsia="Times New Roman" w:cs="Arial"/>
                <w:lang w:val="en-US" w:eastAsia="en-GB"/>
              </w:rPr>
              <w:t>:</w:t>
            </w:r>
          </w:p>
          <w:p w:rsidR="00EE36D7" w:rsidRPr="00402BE5" w:rsidRDefault="007F53B2" w:rsidP="009505D2">
            <w:pPr>
              <w:numPr>
                <w:ilvl w:val="0"/>
                <w:numId w:val="21"/>
              </w:numPr>
              <w:tabs>
                <w:tab w:val="num" w:pos="-1080"/>
              </w:tabs>
              <w:spacing w:line="276" w:lineRule="auto"/>
              <w:ind w:left="357" w:hanging="357"/>
              <w:rPr>
                <w:rFonts w:eastAsia="Calibri" w:cs="Arial"/>
                <w:color w:val="000000"/>
                <w:lang w:eastAsia="en-AU"/>
              </w:rPr>
            </w:pPr>
            <w:r>
              <w:rPr>
                <w:rFonts w:eastAsia="Times New Roman" w:cs="Arial"/>
                <w:lang w:eastAsia="en-AU"/>
              </w:rPr>
              <w:t>I</w:t>
            </w:r>
            <w:r w:rsidR="00EE36D7">
              <w:rPr>
                <w:rFonts w:eastAsia="Times New Roman" w:cs="Arial"/>
                <w:lang w:eastAsia="en-AU"/>
              </w:rPr>
              <w:t xml:space="preserve">mplementation of the Strategy by </w:t>
            </w:r>
            <w:r w:rsidR="00DE23EA">
              <w:rPr>
                <w:rFonts w:eastAsia="Times New Roman" w:cs="Arial"/>
                <w:lang w:eastAsia="en-AU"/>
              </w:rPr>
              <w:t>t</w:t>
            </w:r>
            <w:r w:rsidR="00E21854" w:rsidRPr="00F60B4C">
              <w:rPr>
                <w:rFonts w:eastAsia="Times New Roman" w:cs="Arial"/>
                <w:lang w:eastAsia="en-AU"/>
              </w:rPr>
              <w:t>he Commonwealth</w:t>
            </w:r>
            <w:r w:rsidR="00EE36D7">
              <w:rPr>
                <w:rFonts w:eastAsia="Times New Roman" w:cs="Arial"/>
                <w:lang w:eastAsia="en-AU"/>
              </w:rPr>
              <w:t xml:space="preserve"> Government</w:t>
            </w:r>
          </w:p>
          <w:p w:rsidR="008402A0" w:rsidRPr="008402A0" w:rsidRDefault="00EE36D7" w:rsidP="009505D2">
            <w:pPr>
              <w:numPr>
                <w:ilvl w:val="0"/>
                <w:numId w:val="21"/>
              </w:numPr>
              <w:tabs>
                <w:tab w:val="num" w:pos="-1080"/>
              </w:tabs>
              <w:spacing w:line="276" w:lineRule="auto"/>
              <w:ind w:left="357" w:hanging="357"/>
              <w:rPr>
                <w:rFonts w:eastAsia="Calibri" w:cs="Arial"/>
                <w:color w:val="000000"/>
                <w:lang w:eastAsia="en-AU"/>
              </w:rPr>
            </w:pPr>
            <w:r>
              <w:rPr>
                <w:rFonts w:eastAsia="Times New Roman" w:cs="Arial"/>
                <w:lang w:eastAsia="en-AU"/>
              </w:rPr>
              <w:t xml:space="preserve">implementation of the Strategy by </w:t>
            </w:r>
            <w:r w:rsidR="00DE23EA">
              <w:rPr>
                <w:rFonts w:eastAsia="Times New Roman" w:cs="Arial"/>
                <w:lang w:eastAsia="en-AU"/>
              </w:rPr>
              <w:t>o</w:t>
            </w:r>
            <w:r w:rsidR="00E21854" w:rsidRPr="00F60B4C">
              <w:rPr>
                <w:rFonts w:eastAsia="Times New Roman" w:cs="Arial"/>
                <w:lang w:eastAsia="en-AU"/>
              </w:rPr>
              <w:t>ther State</w:t>
            </w:r>
            <w:r>
              <w:rPr>
                <w:rFonts w:eastAsia="Times New Roman" w:cs="Arial"/>
                <w:lang w:eastAsia="en-AU"/>
              </w:rPr>
              <w:t>s</w:t>
            </w:r>
            <w:r w:rsidR="00E21854" w:rsidRPr="00F60B4C">
              <w:rPr>
                <w:rFonts w:eastAsia="Times New Roman" w:cs="Arial"/>
                <w:lang w:eastAsia="en-AU"/>
              </w:rPr>
              <w:t xml:space="preserve"> and Territories.</w:t>
            </w:r>
          </w:p>
        </w:tc>
      </w:tr>
      <w:tr w:rsidR="00245E67" w:rsidTr="00421BF1">
        <w:tc>
          <w:tcPr>
            <w:tcW w:w="1914" w:type="dxa"/>
            <w:shd w:val="clear" w:color="auto" w:fill="002060"/>
          </w:tcPr>
          <w:p w:rsidR="00245E67" w:rsidRPr="00F60B4C" w:rsidRDefault="00E21854">
            <w:pPr>
              <w:rPr>
                <w:rFonts w:eastAsia="Calibri" w:cs="Arial"/>
                <w:b/>
                <w:color w:val="FFFFFF" w:themeColor="background1"/>
                <w:lang w:eastAsia="en-AU"/>
              </w:rPr>
            </w:pPr>
            <w:r w:rsidRPr="00F60B4C">
              <w:rPr>
                <w:rFonts w:eastAsia="Calibri" w:cs="Arial"/>
                <w:b/>
                <w:color w:val="FFFFFF" w:themeColor="background1"/>
                <w:lang w:eastAsia="en-AU"/>
              </w:rPr>
              <w:t xml:space="preserve">Timeframe </w:t>
            </w:r>
          </w:p>
        </w:tc>
        <w:tc>
          <w:tcPr>
            <w:tcW w:w="8280" w:type="dxa"/>
          </w:tcPr>
          <w:p w:rsidR="00E21854" w:rsidRPr="00835FC0" w:rsidRDefault="00E21854">
            <w:pPr>
              <w:spacing w:after="60" w:line="276" w:lineRule="auto"/>
              <w:rPr>
                <w:rFonts w:eastAsia="Calibri" w:cs="Arial"/>
                <w:color w:val="000000"/>
                <w:lang w:eastAsia="en-AU"/>
              </w:rPr>
            </w:pPr>
            <w:r w:rsidRPr="00835FC0">
              <w:rPr>
                <w:rFonts w:eastAsia="Calibri" w:cs="Arial"/>
                <w:color w:val="000000"/>
                <w:lang w:eastAsia="en-AU"/>
              </w:rPr>
              <w:t>It is proposed that:</w:t>
            </w:r>
          </w:p>
          <w:p w:rsidR="00E21854" w:rsidRPr="00835FC0" w:rsidRDefault="008402A0" w:rsidP="009505D2">
            <w:pPr>
              <w:pStyle w:val="ListParagraph"/>
              <w:numPr>
                <w:ilvl w:val="0"/>
                <w:numId w:val="22"/>
              </w:numPr>
              <w:spacing w:after="60" w:line="276" w:lineRule="auto"/>
              <w:rPr>
                <w:rFonts w:eastAsia="Calibri" w:cs="Arial"/>
                <w:color w:val="000000"/>
                <w:lang w:eastAsia="en-AU"/>
              </w:rPr>
            </w:pPr>
            <w:r w:rsidRPr="00835FC0">
              <w:rPr>
                <w:rFonts w:eastAsia="Calibri" w:cs="Arial"/>
                <w:color w:val="000000"/>
                <w:lang w:eastAsia="en-AU"/>
              </w:rPr>
              <w:t>We will seek stakeholder comments on t</w:t>
            </w:r>
            <w:r w:rsidR="00EE36D7" w:rsidRPr="00835FC0">
              <w:rPr>
                <w:rFonts w:eastAsia="Calibri" w:cs="Arial"/>
                <w:color w:val="000000"/>
                <w:lang w:eastAsia="en-AU"/>
              </w:rPr>
              <w:t xml:space="preserve">he </w:t>
            </w:r>
            <w:r w:rsidR="00EF15D1" w:rsidRPr="00835FC0">
              <w:rPr>
                <w:rFonts w:eastAsia="Calibri" w:cs="Arial"/>
                <w:b/>
                <w:color w:val="000000"/>
                <w:lang w:eastAsia="en-AU"/>
              </w:rPr>
              <w:t>p</w:t>
            </w:r>
            <w:r w:rsidR="00E21854" w:rsidRPr="00835FC0">
              <w:rPr>
                <w:rFonts w:eastAsia="Calibri" w:cs="Arial"/>
                <w:b/>
                <w:color w:val="000000"/>
                <w:lang w:eastAsia="en-AU"/>
              </w:rPr>
              <w:t xml:space="preserve">osition </w:t>
            </w:r>
            <w:r w:rsidR="00EF15D1" w:rsidRPr="00835FC0">
              <w:rPr>
                <w:rFonts w:eastAsia="Calibri" w:cs="Arial"/>
                <w:b/>
                <w:color w:val="000000"/>
                <w:lang w:eastAsia="en-AU"/>
              </w:rPr>
              <w:t>p</w:t>
            </w:r>
            <w:r w:rsidR="00E21854" w:rsidRPr="00835FC0">
              <w:rPr>
                <w:rFonts w:eastAsia="Calibri" w:cs="Arial"/>
                <w:b/>
                <w:color w:val="000000"/>
                <w:lang w:eastAsia="en-AU"/>
              </w:rPr>
              <w:t>aper</w:t>
            </w:r>
            <w:r w:rsidR="00E21854" w:rsidRPr="00835FC0">
              <w:rPr>
                <w:rFonts w:eastAsia="Calibri" w:cs="Arial"/>
                <w:color w:val="000000"/>
                <w:lang w:eastAsia="en-AU"/>
              </w:rPr>
              <w:t xml:space="preserve"> between September </w:t>
            </w:r>
            <w:r w:rsidR="00EE36D7" w:rsidRPr="00835FC0">
              <w:rPr>
                <w:rFonts w:eastAsia="Calibri" w:cs="Arial"/>
                <w:color w:val="000000"/>
                <w:lang w:eastAsia="en-AU"/>
              </w:rPr>
              <w:t>and</w:t>
            </w:r>
            <w:r w:rsidR="00E21854" w:rsidRPr="00835FC0">
              <w:rPr>
                <w:rFonts w:eastAsia="Calibri" w:cs="Arial"/>
                <w:color w:val="000000"/>
                <w:lang w:eastAsia="en-AU"/>
              </w:rPr>
              <w:t xml:space="preserve"> </w:t>
            </w:r>
            <w:r w:rsidR="007F53B2">
              <w:rPr>
                <w:rFonts w:eastAsia="Calibri" w:cs="Arial"/>
                <w:color w:val="000000"/>
                <w:lang w:eastAsia="en-AU"/>
              </w:rPr>
              <w:t xml:space="preserve">early </w:t>
            </w:r>
            <w:r w:rsidR="00E21854" w:rsidRPr="00835FC0">
              <w:rPr>
                <w:rFonts w:eastAsia="Calibri" w:cs="Arial"/>
                <w:color w:val="000000"/>
                <w:lang w:eastAsia="en-AU"/>
              </w:rPr>
              <w:t>November 2020.</w:t>
            </w:r>
            <w:r w:rsidR="00E21854" w:rsidRPr="00835FC0">
              <w:rPr>
                <w:rFonts w:ascii="Calibri" w:eastAsia="Times New Roman" w:hAnsi="Calibri" w:cs="Arial"/>
                <w:lang w:eastAsia="en-GB"/>
              </w:rPr>
              <w:t xml:space="preserve"> </w:t>
            </w:r>
            <w:r w:rsidR="005664F0">
              <w:rPr>
                <w:rFonts w:ascii="Calibri" w:eastAsia="Times New Roman" w:hAnsi="Calibri" w:cs="Arial"/>
                <w:lang w:eastAsia="en-GB"/>
              </w:rPr>
              <w:t>ADC will consolidate</w:t>
            </w:r>
            <w:r w:rsidR="00AB18D5">
              <w:rPr>
                <w:rFonts w:ascii="Calibri" w:eastAsia="Times New Roman" w:hAnsi="Calibri" w:cs="Arial"/>
                <w:lang w:eastAsia="en-GB"/>
              </w:rPr>
              <w:t xml:space="preserve"> stakeholder f</w:t>
            </w:r>
            <w:r w:rsidR="006766A0">
              <w:rPr>
                <w:rFonts w:ascii="Calibri" w:eastAsia="Times New Roman" w:hAnsi="Calibri" w:cs="Arial"/>
                <w:lang w:eastAsia="en-GB"/>
              </w:rPr>
              <w:t xml:space="preserve">eedback </w:t>
            </w:r>
            <w:r w:rsidR="005664F0">
              <w:rPr>
                <w:rFonts w:ascii="Calibri" w:eastAsia="Times New Roman" w:hAnsi="Calibri" w:cs="Arial"/>
                <w:lang w:eastAsia="en-GB"/>
              </w:rPr>
              <w:t xml:space="preserve">to </w:t>
            </w:r>
            <w:r w:rsidR="00AB18D5">
              <w:rPr>
                <w:rFonts w:ascii="Calibri" w:eastAsia="Times New Roman" w:hAnsi="Calibri" w:cs="Arial"/>
                <w:lang w:eastAsia="en-GB"/>
              </w:rPr>
              <w:t xml:space="preserve">inform the development </w:t>
            </w:r>
            <w:r w:rsidR="007F53B2">
              <w:rPr>
                <w:rFonts w:ascii="Calibri" w:eastAsia="Times New Roman" w:hAnsi="Calibri" w:cs="Arial"/>
                <w:lang w:eastAsia="en-GB"/>
              </w:rPr>
              <w:t xml:space="preserve">of </w:t>
            </w:r>
            <w:r w:rsidR="007F53B2" w:rsidRPr="00835FC0">
              <w:rPr>
                <w:rFonts w:ascii="Calibri" w:eastAsia="Times New Roman" w:hAnsi="Calibri" w:cs="Arial"/>
                <w:lang w:eastAsia="en-GB"/>
              </w:rPr>
              <w:t>relevant</w:t>
            </w:r>
            <w:r w:rsidR="00E21854" w:rsidRPr="00835FC0">
              <w:rPr>
                <w:rFonts w:ascii="Calibri" w:eastAsia="Times New Roman" w:hAnsi="Calibri" w:cs="Arial"/>
                <w:lang w:eastAsia="en-GB"/>
              </w:rPr>
              <w:t xml:space="preserve"> </w:t>
            </w:r>
            <w:r w:rsidR="00AB18D5">
              <w:rPr>
                <w:rFonts w:ascii="Calibri" w:eastAsia="Times New Roman" w:hAnsi="Calibri" w:cs="Arial"/>
                <w:lang w:eastAsia="en-GB"/>
              </w:rPr>
              <w:t xml:space="preserve">Standing Review </w:t>
            </w:r>
            <w:r w:rsidR="00E21854" w:rsidRPr="00835FC0">
              <w:rPr>
                <w:rFonts w:ascii="Calibri" w:eastAsia="Times New Roman" w:hAnsi="Calibri" w:cs="Arial"/>
                <w:lang w:eastAsia="en-GB"/>
              </w:rPr>
              <w:t>frameworks</w:t>
            </w:r>
            <w:r w:rsidR="00AB18D5">
              <w:rPr>
                <w:rFonts w:ascii="Calibri" w:eastAsia="Times New Roman" w:hAnsi="Calibri" w:cs="Arial"/>
                <w:lang w:eastAsia="en-GB"/>
              </w:rPr>
              <w:t xml:space="preserve"> (</w:t>
            </w:r>
            <w:r w:rsidR="00E21854" w:rsidRPr="00835FC0">
              <w:rPr>
                <w:rFonts w:ascii="Calibri" w:eastAsia="Times New Roman" w:hAnsi="Calibri" w:cs="Arial"/>
                <w:lang w:eastAsia="en-GB"/>
              </w:rPr>
              <w:t>see below)</w:t>
            </w:r>
            <w:r w:rsidR="00AB18D5">
              <w:rPr>
                <w:rFonts w:ascii="Calibri" w:eastAsia="Times New Roman" w:hAnsi="Calibri" w:cs="Arial"/>
                <w:lang w:eastAsia="en-GB"/>
              </w:rPr>
              <w:t>.</w:t>
            </w:r>
            <w:r w:rsidR="00E21854" w:rsidRPr="00835FC0">
              <w:rPr>
                <w:rFonts w:ascii="Calibri" w:eastAsia="Times New Roman" w:hAnsi="Calibri" w:cs="Arial"/>
                <w:lang w:eastAsia="en-GB"/>
              </w:rPr>
              <w:t xml:space="preserve"> </w:t>
            </w:r>
          </w:p>
          <w:p w:rsidR="00245E67" w:rsidRPr="00835FC0" w:rsidRDefault="009A2377" w:rsidP="009505D2">
            <w:pPr>
              <w:pStyle w:val="ListParagraph"/>
              <w:numPr>
                <w:ilvl w:val="0"/>
                <w:numId w:val="22"/>
              </w:numPr>
              <w:spacing w:after="60" w:line="276" w:lineRule="auto"/>
              <w:rPr>
                <w:color w:val="000000" w:themeColor="text1"/>
              </w:rPr>
            </w:pPr>
            <w:r w:rsidRPr="00835FC0">
              <w:rPr>
                <w:rFonts w:eastAsia="Calibri" w:cs="Arial"/>
                <w:bCs/>
                <w:color w:val="000000"/>
                <w:lang w:eastAsia="en-AU"/>
              </w:rPr>
              <w:t xml:space="preserve">The </w:t>
            </w:r>
            <w:r w:rsidR="00E21854" w:rsidRPr="00835FC0">
              <w:rPr>
                <w:rFonts w:eastAsia="Calibri" w:cs="Arial"/>
                <w:b/>
                <w:bCs/>
                <w:color w:val="000000"/>
                <w:lang w:eastAsia="en-AU"/>
              </w:rPr>
              <w:t>Standing Review</w:t>
            </w:r>
            <w:r w:rsidR="00E21854" w:rsidRPr="00835FC0">
              <w:rPr>
                <w:rFonts w:eastAsia="Calibri" w:cs="Arial"/>
                <w:color w:val="000000"/>
                <w:lang w:eastAsia="en-AU"/>
              </w:rPr>
              <w:t xml:space="preserve"> </w:t>
            </w:r>
            <w:r w:rsidRPr="00835FC0">
              <w:rPr>
                <w:rFonts w:eastAsia="Calibri" w:cs="Arial"/>
                <w:color w:val="000000"/>
                <w:lang w:eastAsia="en-AU"/>
              </w:rPr>
              <w:t xml:space="preserve">will </w:t>
            </w:r>
            <w:r w:rsidR="00E21854" w:rsidRPr="00835FC0">
              <w:rPr>
                <w:rFonts w:eastAsia="Times New Roman" w:cs="Arial"/>
                <w:color w:val="000000"/>
                <w:lang w:eastAsia="en-GB"/>
              </w:rPr>
              <w:t xml:space="preserve">be an ongoing </w:t>
            </w:r>
            <w:r w:rsidR="00E21854" w:rsidRPr="00835FC0">
              <w:rPr>
                <w:color w:val="000000" w:themeColor="text1"/>
              </w:rPr>
              <w:t xml:space="preserve">review, </w:t>
            </w:r>
            <w:r w:rsidRPr="00835FC0">
              <w:rPr>
                <w:color w:val="000000" w:themeColor="text1"/>
              </w:rPr>
              <w:t>which will result in</w:t>
            </w:r>
            <w:r w:rsidR="00E21854" w:rsidRPr="00835FC0">
              <w:rPr>
                <w:color w:val="000000" w:themeColor="text1"/>
              </w:rPr>
              <w:t xml:space="preserve"> biennial </w:t>
            </w:r>
            <w:r w:rsidR="008402A0" w:rsidRPr="00835FC0">
              <w:rPr>
                <w:color w:val="000000" w:themeColor="text1"/>
              </w:rPr>
              <w:t xml:space="preserve">public </w:t>
            </w:r>
            <w:r w:rsidRPr="00835FC0">
              <w:rPr>
                <w:color w:val="000000" w:themeColor="text1"/>
              </w:rPr>
              <w:t>report</w:t>
            </w:r>
            <w:r w:rsidR="00AE3B27">
              <w:rPr>
                <w:color w:val="000000" w:themeColor="text1"/>
              </w:rPr>
              <w:t>s</w:t>
            </w:r>
            <w:r w:rsidR="00E21854" w:rsidRPr="00835FC0">
              <w:rPr>
                <w:color w:val="000000" w:themeColor="text1"/>
              </w:rPr>
              <w:t xml:space="preserve">. </w:t>
            </w:r>
            <w:r w:rsidR="007F53B2">
              <w:rPr>
                <w:color w:val="000000" w:themeColor="text1"/>
              </w:rPr>
              <w:t>Reporting</w:t>
            </w:r>
            <w:r w:rsidR="00E21854" w:rsidRPr="00835FC0">
              <w:rPr>
                <w:color w:val="000000" w:themeColor="text1"/>
              </w:rPr>
              <w:t xml:space="preserve"> every </w:t>
            </w:r>
            <w:r w:rsidRPr="00835FC0">
              <w:rPr>
                <w:color w:val="000000" w:themeColor="text1"/>
              </w:rPr>
              <w:t>two</w:t>
            </w:r>
            <w:r w:rsidR="00E21854" w:rsidRPr="00835FC0">
              <w:rPr>
                <w:color w:val="000000" w:themeColor="text1"/>
              </w:rPr>
              <w:t xml:space="preserve"> years </w:t>
            </w:r>
            <w:r w:rsidR="00AE3B27">
              <w:rPr>
                <w:color w:val="000000" w:themeColor="text1"/>
              </w:rPr>
              <w:t>should</w:t>
            </w:r>
            <w:r w:rsidR="00E21854" w:rsidRPr="00835FC0">
              <w:rPr>
                <w:color w:val="000000" w:themeColor="text1"/>
              </w:rPr>
              <w:t xml:space="preserve"> </w:t>
            </w:r>
            <w:r w:rsidRPr="00835FC0">
              <w:rPr>
                <w:color w:val="000000" w:themeColor="text1"/>
              </w:rPr>
              <w:t>enable</w:t>
            </w:r>
            <w:r w:rsidR="00E21854" w:rsidRPr="00835FC0">
              <w:rPr>
                <w:color w:val="000000" w:themeColor="text1"/>
              </w:rPr>
              <w:t xml:space="preserve"> </w:t>
            </w:r>
            <w:r w:rsidR="008402A0" w:rsidRPr="00835FC0">
              <w:rPr>
                <w:color w:val="000000" w:themeColor="text1"/>
              </w:rPr>
              <w:t>sufficient time for implementation</w:t>
            </w:r>
            <w:r w:rsidR="00E21854" w:rsidRPr="00835FC0">
              <w:rPr>
                <w:color w:val="000000" w:themeColor="text1"/>
              </w:rPr>
              <w:t xml:space="preserve"> activities to </w:t>
            </w:r>
            <w:r w:rsidR="008402A0" w:rsidRPr="00835FC0">
              <w:rPr>
                <w:color w:val="000000" w:themeColor="text1"/>
              </w:rPr>
              <w:t>progress</w:t>
            </w:r>
            <w:r w:rsidR="00E21854" w:rsidRPr="00835FC0">
              <w:rPr>
                <w:color w:val="000000" w:themeColor="text1"/>
              </w:rPr>
              <w:t xml:space="preserve"> and for relevant data</w:t>
            </w:r>
            <w:r w:rsidR="007F53B2">
              <w:rPr>
                <w:color w:val="000000" w:themeColor="text1"/>
              </w:rPr>
              <w:t xml:space="preserve"> including outcome measures</w:t>
            </w:r>
            <w:r w:rsidR="00E21854" w:rsidRPr="00835FC0">
              <w:rPr>
                <w:color w:val="000000" w:themeColor="text1"/>
              </w:rPr>
              <w:t xml:space="preserve"> to be available. </w:t>
            </w:r>
            <w:r w:rsidR="00AE3B27">
              <w:rPr>
                <w:color w:val="000000" w:themeColor="text1"/>
              </w:rPr>
              <w:t xml:space="preserve">The ADC </w:t>
            </w:r>
            <w:r w:rsidR="00E21854" w:rsidRPr="00835FC0">
              <w:rPr>
                <w:color w:val="000000" w:themeColor="text1"/>
              </w:rPr>
              <w:t>propose</w:t>
            </w:r>
            <w:r w:rsidR="00AE3B27">
              <w:rPr>
                <w:color w:val="000000" w:themeColor="text1"/>
              </w:rPr>
              <w:t>s</w:t>
            </w:r>
            <w:r w:rsidR="00E21854" w:rsidRPr="00835FC0">
              <w:rPr>
                <w:color w:val="000000" w:themeColor="text1"/>
              </w:rPr>
              <w:t xml:space="preserve"> that: </w:t>
            </w:r>
          </w:p>
          <w:p w:rsidR="00E21854" w:rsidRPr="00835FC0" w:rsidRDefault="009A2377" w:rsidP="009505D2">
            <w:pPr>
              <w:pStyle w:val="ListParagraph"/>
              <w:numPr>
                <w:ilvl w:val="0"/>
                <w:numId w:val="23"/>
              </w:numPr>
              <w:spacing w:after="60" w:line="276" w:lineRule="auto"/>
              <w:rPr>
                <w:rFonts w:ascii="Calibri" w:eastAsia="Times New Roman" w:hAnsi="Calibri" w:cs="Arial"/>
                <w:lang w:eastAsia="en-GB"/>
              </w:rPr>
            </w:pPr>
            <w:r w:rsidRPr="00835FC0">
              <w:rPr>
                <w:rFonts w:ascii="Calibri" w:eastAsia="Times New Roman" w:hAnsi="Calibri" w:cs="Arial"/>
                <w:lang w:eastAsia="en-GB"/>
              </w:rPr>
              <w:t xml:space="preserve">the </w:t>
            </w:r>
            <w:r w:rsidR="00DE23EA" w:rsidRPr="00835FC0">
              <w:rPr>
                <w:rFonts w:ascii="Calibri" w:eastAsia="Times New Roman" w:hAnsi="Calibri" w:cs="Arial"/>
                <w:lang w:eastAsia="en-GB"/>
              </w:rPr>
              <w:t>f</w:t>
            </w:r>
            <w:r w:rsidR="00E21854" w:rsidRPr="00835FC0">
              <w:rPr>
                <w:rFonts w:ascii="Calibri" w:eastAsia="Times New Roman" w:hAnsi="Calibri" w:cs="Arial"/>
                <w:lang w:eastAsia="en-GB"/>
              </w:rPr>
              <w:t xml:space="preserve">irst Standing Review </w:t>
            </w:r>
            <w:r w:rsidRPr="00835FC0">
              <w:rPr>
                <w:rFonts w:ascii="Calibri" w:eastAsia="Times New Roman" w:hAnsi="Calibri" w:cs="Arial"/>
                <w:lang w:eastAsia="en-GB"/>
              </w:rPr>
              <w:t>r</w:t>
            </w:r>
            <w:r w:rsidR="00E21854" w:rsidRPr="00835FC0">
              <w:rPr>
                <w:rFonts w:ascii="Calibri" w:eastAsia="Times New Roman" w:hAnsi="Calibri" w:cs="Arial"/>
                <w:lang w:eastAsia="en-GB"/>
              </w:rPr>
              <w:t xml:space="preserve">eport will be completed </w:t>
            </w:r>
            <w:r w:rsidRPr="00835FC0">
              <w:rPr>
                <w:rFonts w:ascii="Calibri" w:eastAsia="Times New Roman" w:hAnsi="Calibri" w:cs="Arial"/>
                <w:lang w:eastAsia="en-GB"/>
              </w:rPr>
              <w:t xml:space="preserve">by </w:t>
            </w:r>
            <w:r w:rsidR="006C10B2">
              <w:rPr>
                <w:rFonts w:ascii="Calibri" w:eastAsia="Times New Roman" w:hAnsi="Calibri" w:cs="Arial"/>
                <w:lang w:eastAsia="en-GB"/>
              </w:rPr>
              <w:t>mid</w:t>
            </w:r>
            <w:r w:rsidR="006C10B2" w:rsidRPr="00835FC0">
              <w:rPr>
                <w:rFonts w:ascii="Calibri" w:eastAsia="Times New Roman" w:hAnsi="Calibri" w:cs="Arial"/>
                <w:lang w:eastAsia="en-GB"/>
              </w:rPr>
              <w:t>-2021</w:t>
            </w:r>
          </w:p>
          <w:p w:rsidR="00E21854" w:rsidRPr="00F60B4C" w:rsidRDefault="009A2377" w:rsidP="009505D2">
            <w:pPr>
              <w:pStyle w:val="ListParagraph"/>
              <w:numPr>
                <w:ilvl w:val="0"/>
                <w:numId w:val="23"/>
              </w:numPr>
              <w:spacing w:after="60" w:line="276" w:lineRule="auto"/>
              <w:rPr>
                <w:rFonts w:eastAsia="Calibri" w:cs="Arial"/>
                <w:color w:val="000000"/>
                <w:lang w:eastAsia="en-AU"/>
              </w:rPr>
            </w:pPr>
            <w:r w:rsidRPr="00835FC0">
              <w:rPr>
                <w:rFonts w:ascii="Calibri" w:eastAsia="Times New Roman" w:hAnsi="Calibri" w:cs="Arial"/>
                <w:lang w:eastAsia="en-GB"/>
              </w:rPr>
              <w:t xml:space="preserve">the </w:t>
            </w:r>
            <w:r w:rsidR="00DE23EA" w:rsidRPr="00835FC0">
              <w:rPr>
                <w:rFonts w:ascii="Calibri" w:eastAsia="Times New Roman" w:hAnsi="Calibri" w:cs="Arial"/>
                <w:lang w:eastAsia="en-GB"/>
              </w:rPr>
              <w:t>s</w:t>
            </w:r>
            <w:r w:rsidR="00E21854" w:rsidRPr="00835FC0">
              <w:rPr>
                <w:rFonts w:ascii="Calibri" w:eastAsia="Times New Roman" w:hAnsi="Calibri" w:cs="Arial"/>
                <w:lang w:eastAsia="en-GB"/>
              </w:rPr>
              <w:t xml:space="preserve">econd </w:t>
            </w:r>
            <w:r w:rsidR="005A0609">
              <w:rPr>
                <w:rFonts w:ascii="Calibri" w:eastAsia="Times New Roman" w:hAnsi="Calibri" w:cs="Arial"/>
                <w:lang w:eastAsia="en-GB"/>
              </w:rPr>
              <w:t>biennial</w:t>
            </w:r>
            <w:r w:rsidR="00E21854" w:rsidRPr="00835FC0">
              <w:rPr>
                <w:rFonts w:ascii="Calibri" w:eastAsia="Times New Roman" w:hAnsi="Calibri" w:cs="Arial"/>
                <w:lang w:eastAsia="en-GB"/>
              </w:rPr>
              <w:t xml:space="preserve"> </w:t>
            </w:r>
            <w:r w:rsidRPr="00835FC0">
              <w:rPr>
                <w:rFonts w:ascii="Calibri" w:eastAsia="Times New Roman" w:hAnsi="Calibri" w:cs="Arial"/>
                <w:lang w:eastAsia="en-GB"/>
              </w:rPr>
              <w:t>r</w:t>
            </w:r>
            <w:r w:rsidR="00E21854" w:rsidRPr="00835FC0">
              <w:rPr>
                <w:rFonts w:ascii="Calibri" w:eastAsia="Times New Roman" w:hAnsi="Calibri" w:cs="Arial"/>
                <w:lang w:eastAsia="en-GB"/>
              </w:rPr>
              <w:t xml:space="preserve">eport </w:t>
            </w:r>
            <w:r w:rsidRPr="00835FC0">
              <w:rPr>
                <w:rFonts w:ascii="Calibri" w:eastAsia="Times New Roman" w:hAnsi="Calibri" w:cs="Arial"/>
                <w:lang w:eastAsia="en-GB"/>
              </w:rPr>
              <w:t xml:space="preserve">will be </w:t>
            </w:r>
            <w:r w:rsidR="00E21854" w:rsidRPr="00835FC0">
              <w:rPr>
                <w:rFonts w:ascii="Calibri" w:eastAsia="Times New Roman" w:hAnsi="Calibri" w:cs="Arial"/>
                <w:lang w:eastAsia="en-GB"/>
              </w:rPr>
              <w:t xml:space="preserve">completed </w:t>
            </w:r>
            <w:r w:rsidRPr="00835FC0">
              <w:rPr>
                <w:rFonts w:ascii="Calibri" w:eastAsia="Times New Roman" w:hAnsi="Calibri" w:cs="Arial"/>
                <w:lang w:eastAsia="en-GB"/>
              </w:rPr>
              <w:t xml:space="preserve">by </w:t>
            </w:r>
            <w:r w:rsidR="006C10B2">
              <w:rPr>
                <w:rFonts w:ascii="Calibri" w:eastAsia="Times New Roman" w:hAnsi="Calibri" w:cs="Arial"/>
                <w:lang w:eastAsia="en-GB"/>
              </w:rPr>
              <w:t>mid</w:t>
            </w:r>
            <w:r w:rsidR="006C10B2" w:rsidRPr="00835FC0">
              <w:rPr>
                <w:rFonts w:ascii="Calibri" w:eastAsia="Times New Roman" w:hAnsi="Calibri" w:cs="Arial"/>
                <w:lang w:eastAsia="en-GB"/>
              </w:rPr>
              <w:t>-2023</w:t>
            </w:r>
            <w:r w:rsidR="00E21854" w:rsidRPr="00835FC0">
              <w:rPr>
                <w:rFonts w:ascii="Calibri" w:eastAsia="Times New Roman" w:hAnsi="Calibri" w:cs="Arial"/>
                <w:lang w:eastAsia="en-GB"/>
              </w:rPr>
              <w:t>.</w:t>
            </w:r>
            <w:r w:rsidR="00E21854" w:rsidRPr="00F60B4C">
              <w:rPr>
                <w:rFonts w:ascii="Calibri" w:eastAsia="Times New Roman" w:hAnsi="Calibri" w:cs="Arial"/>
                <w:lang w:eastAsia="en-GB"/>
              </w:rPr>
              <w:t xml:space="preserve"> </w:t>
            </w:r>
          </w:p>
        </w:tc>
      </w:tr>
      <w:tr w:rsidR="00245E67" w:rsidTr="00421BF1">
        <w:tc>
          <w:tcPr>
            <w:tcW w:w="1914" w:type="dxa"/>
            <w:shd w:val="clear" w:color="auto" w:fill="002060"/>
          </w:tcPr>
          <w:p w:rsidR="00245E67" w:rsidRPr="00F60B4C" w:rsidRDefault="00E21854">
            <w:pPr>
              <w:rPr>
                <w:rFonts w:eastAsia="Calibri" w:cs="Arial"/>
                <w:b/>
                <w:color w:val="FFFFFF" w:themeColor="background1"/>
                <w:lang w:eastAsia="en-AU"/>
              </w:rPr>
            </w:pPr>
            <w:r w:rsidRPr="00F60B4C">
              <w:rPr>
                <w:rFonts w:eastAsia="Calibri" w:cs="Arial"/>
                <w:b/>
                <w:color w:val="FFFFFF" w:themeColor="background1"/>
                <w:lang w:eastAsia="en-AU"/>
              </w:rPr>
              <w:t xml:space="preserve">Frameworks  </w:t>
            </w:r>
          </w:p>
        </w:tc>
        <w:tc>
          <w:tcPr>
            <w:tcW w:w="8280" w:type="dxa"/>
          </w:tcPr>
          <w:p w:rsidR="00245E67" w:rsidRPr="00F60B4C" w:rsidRDefault="008B7338">
            <w:pPr>
              <w:spacing w:after="60" w:line="276" w:lineRule="auto"/>
              <w:rPr>
                <w:rFonts w:eastAsia="Calibri" w:cs="Arial"/>
                <w:color w:val="000000"/>
                <w:lang w:eastAsia="en-AU"/>
              </w:rPr>
            </w:pPr>
            <w:r>
              <w:rPr>
                <w:rFonts w:eastAsia="Calibri" w:cs="Arial"/>
                <w:color w:val="000000"/>
                <w:lang w:eastAsia="en-AU"/>
              </w:rPr>
              <w:t>To support the work, t</w:t>
            </w:r>
            <w:r w:rsidR="00E21854" w:rsidRPr="00F60B4C">
              <w:rPr>
                <w:rFonts w:eastAsia="Calibri" w:cs="Arial"/>
                <w:color w:val="000000"/>
                <w:lang w:eastAsia="en-AU"/>
              </w:rPr>
              <w:t xml:space="preserve">he </w:t>
            </w:r>
            <w:r>
              <w:rPr>
                <w:rFonts w:eastAsia="Calibri" w:cs="Arial"/>
                <w:color w:val="000000"/>
                <w:lang w:eastAsia="en-AU"/>
              </w:rPr>
              <w:t>ADC</w:t>
            </w:r>
            <w:r w:rsidR="00E21854" w:rsidRPr="00F60B4C">
              <w:rPr>
                <w:rFonts w:eastAsia="Calibri" w:cs="Arial"/>
                <w:color w:val="000000"/>
                <w:lang w:eastAsia="en-AU"/>
              </w:rPr>
              <w:t xml:space="preserve"> will develop: </w:t>
            </w:r>
          </w:p>
          <w:p w:rsidR="00E21854" w:rsidRPr="00F60B4C" w:rsidRDefault="008B7338" w:rsidP="009505D2">
            <w:pPr>
              <w:numPr>
                <w:ilvl w:val="0"/>
                <w:numId w:val="17"/>
              </w:numPr>
              <w:spacing w:line="276" w:lineRule="auto"/>
              <w:ind w:left="357" w:hanging="357"/>
              <w:rPr>
                <w:i/>
                <w:iCs/>
                <w:color w:val="000000" w:themeColor="text1"/>
                <w:shd w:val="clear" w:color="auto" w:fill="FFFFFF"/>
              </w:rPr>
            </w:pPr>
            <w:r>
              <w:rPr>
                <w:rFonts w:cs="Arial"/>
                <w:lang w:val="en-US"/>
              </w:rPr>
              <w:t xml:space="preserve">a </w:t>
            </w:r>
            <w:r w:rsidR="004C3A72" w:rsidRPr="00835FC0">
              <w:rPr>
                <w:rFonts w:cs="Arial"/>
                <w:b/>
                <w:lang w:val="en-US"/>
              </w:rPr>
              <w:t xml:space="preserve">Standing Review </w:t>
            </w:r>
            <w:r w:rsidR="00CD75C2">
              <w:rPr>
                <w:rFonts w:cs="Arial"/>
                <w:b/>
                <w:lang w:val="en-US"/>
              </w:rPr>
              <w:t>F</w:t>
            </w:r>
            <w:r w:rsidR="00E21854" w:rsidRPr="00F60B4C">
              <w:rPr>
                <w:rFonts w:cs="Arial"/>
                <w:b/>
                <w:lang w:val="en-US"/>
              </w:rPr>
              <w:t>ramework</w:t>
            </w:r>
            <w:r w:rsidR="009A2377">
              <w:rPr>
                <w:rFonts w:eastAsia="Times New Roman" w:cs="Arial"/>
                <w:lang w:val="en-US" w:eastAsia="en-AU"/>
              </w:rPr>
              <w:t>,</w:t>
            </w:r>
            <w:r w:rsidR="00E21854" w:rsidRPr="00F60B4C">
              <w:rPr>
                <w:rFonts w:eastAsia="Times New Roman" w:cs="Arial"/>
                <w:lang w:val="en-US" w:eastAsia="en-AU"/>
              </w:rPr>
              <w:t xml:space="preserve"> </w:t>
            </w:r>
            <w:r w:rsidR="005A0609">
              <w:rPr>
                <w:rFonts w:eastAsia="Times New Roman" w:cs="Arial"/>
                <w:lang w:val="en-US" w:eastAsia="en-AU"/>
              </w:rPr>
              <w:t xml:space="preserve">which will </w:t>
            </w:r>
            <w:r w:rsidR="00E21854" w:rsidRPr="00F60B4C">
              <w:rPr>
                <w:rFonts w:eastAsia="Times New Roman" w:cs="Arial"/>
                <w:lang w:eastAsia="en-AU"/>
              </w:rPr>
              <w:t>includ</w:t>
            </w:r>
            <w:r w:rsidR="005A0609">
              <w:rPr>
                <w:rFonts w:eastAsia="Times New Roman" w:cs="Arial"/>
                <w:lang w:eastAsia="en-AU"/>
              </w:rPr>
              <w:t>e</w:t>
            </w:r>
            <w:r w:rsidR="009A2377">
              <w:rPr>
                <w:rFonts w:eastAsia="Times New Roman" w:cs="Arial"/>
                <w:lang w:eastAsia="en-AU"/>
              </w:rPr>
              <w:t>:</w:t>
            </w:r>
            <w:r w:rsidR="00E21854" w:rsidRPr="00F60B4C">
              <w:rPr>
                <w:rFonts w:eastAsia="Times New Roman" w:cs="Arial"/>
                <w:lang w:eastAsia="en-AU"/>
              </w:rPr>
              <w:t xml:space="preserve"> </w:t>
            </w:r>
          </w:p>
          <w:p w:rsidR="00E21854" w:rsidRPr="00F60B4C" w:rsidRDefault="00E21854" w:rsidP="009505D2">
            <w:pPr>
              <w:numPr>
                <w:ilvl w:val="0"/>
                <w:numId w:val="18"/>
              </w:numPr>
              <w:spacing w:line="276" w:lineRule="auto"/>
              <w:rPr>
                <w:rFonts w:eastAsia="Times New Roman" w:cs="Arial"/>
                <w:lang w:eastAsia="en-AU"/>
              </w:rPr>
            </w:pPr>
            <w:r w:rsidRPr="00F60B4C">
              <w:rPr>
                <w:rFonts w:eastAsia="Times New Roman" w:cs="Arial"/>
                <w:lang w:eastAsia="en-AU"/>
              </w:rPr>
              <w:t xml:space="preserve">information </w:t>
            </w:r>
            <w:r w:rsidR="008B7338">
              <w:rPr>
                <w:rFonts w:eastAsia="Times New Roman" w:cs="Arial"/>
                <w:lang w:eastAsia="en-AU"/>
              </w:rPr>
              <w:t>sharing</w:t>
            </w:r>
            <w:r w:rsidRPr="00F60B4C">
              <w:rPr>
                <w:rFonts w:eastAsia="Times New Roman" w:cs="Arial"/>
                <w:lang w:eastAsia="en-AU"/>
              </w:rPr>
              <w:t xml:space="preserve"> </w:t>
            </w:r>
            <w:r w:rsidR="008B7338">
              <w:rPr>
                <w:rFonts w:eastAsia="Times New Roman" w:cs="Arial"/>
                <w:lang w:eastAsia="en-AU"/>
              </w:rPr>
              <w:t>arrangements</w:t>
            </w:r>
          </w:p>
          <w:p w:rsidR="00E21854" w:rsidRPr="00F60B4C" w:rsidRDefault="00E21854" w:rsidP="009505D2">
            <w:pPr>
              <w:numPr>
                <w:ilvl w:val="0"/>
                <w:numId w:val="18"/>
              </w:numPr>
              <w:spacing w:line="276" w:lineRule="auto"/>
              <w:rPr>
                <w:rFonts w:eastAsia="Times New Roman" w:cs="Arial"/>
                <w:lang w:eastAsia="en-AU"/>
              </w:rPr>
            </w:pPr>
            <w:r w:rsidRPr="00F60B4C">
              <w:rPr>
                <w:rFonts w:eastAsia="Times New Roman" w:cs="Arial"/>
                <w:lang w:eastAsia="en-AU"/>
              </w:rPr>
              <w:t xml:space="preserve">evidence and data collection reporting tools to support transparency and accountability </w:t>
            </w:r>
          </w:p>
          <w:p w:rsidR="00DE23EA" w:rsidRPr="00DE23EA" w:rsidRDefault="00984620" w:rsidP="009505D2">
            <w:pPr>
              <w:pStyle w:val="ListParagraph"/>
              <w:numPr>
                <w:ilvl w:val="0"/>
                <w:numId w:val="18"/>
              </w:numPr>
              <w:spacing w:after="60" w:line="276" w:lineRule="auto"/>
              <w:ind w:left="714" w:hanging="357"/>
              <w:rPr>
                <w:rFonts w:eastAsia="Calibri" w:cs="Arial"/>
                <w:color w:val="000000"/>
                <w:lang w:eastAsia="en-AU"/>
              </w:rPr>
            </w:pPr>
            <w:r>
              <w:rPr>
                <w:rFonts w:eastAsia="Times New Roman" w:cs="Arial"/>
                <w:lang w:eastAsia="en-AU"/>
              </w:rPr>
              <w:t xml:space="preserve">a </w:t>
            </w:r>
            <w:r w:rsidR="00E21854" w:rsidRPr="00F60B4C">
              <w:rPr>
                <w:rFonts w:eastAsia="Times New Roman" w:cs="Arial"/>
                <w:lang w:eastAsia="en-AU"/>
              </w:rPr>
              <w:t>public reporting procedure</w:t>
            </w:r>
            <w:r w:rsidR="008B7338">
              <w:rPr>
                <w:rFonts w:eastAsia="Times New Roman" w:cs="Arial"/>
                <w:lang w:eastAsia="en-AU"/>
              </w:rPr>
              <w:t>.</w:t>
            </w:r>
          </w:p>
          <w:p w:rsidR="00E21854" w:rsidRPr="00F60B4C" w:rsidRDefault="00984620" w:rsidP="009505D2">
            <w:pPr>
              <w:pStyle w:val="ListParagraph"/>
              <w:numPr>
                <w:ilvl w:val="0"/>
                <w:numId w:val="19"/>
              </w:numPr>
              <w:spacing w:line="276" w:lineRule="auto"/>
              <w:rPr>
                <w:rFonts w:eastAsia="Times New Roman" w:cs="Times New Roman"/>
                <w:lang w:eastAsia="en-GB"/>
              </w:rPr>
            </w:pPr>
            <w:r>
              <w:rPr>
                <w:iCs/>
              </w:rPr>
              <w:t xml:space="preserve">a </w:t>
            </w:r>
            <w:r w:rsidR="00E21854" w:rsidRPr="00F60B4C">
              <w:rPr>
                <w:b/>
                <w:iCs/>
              </w:rPr>
              <w:t xml:space="preserve">Stakeholder </w:t>
            </w:r>
            <w:r w:rsidR="00CD75C2">
              <w:rPr>
                <w:b/>
                <w:iCs/>
              </w:rPr>
              <w:t>E</w:t>
            </w:r>
            <w:r w:rsidR="00E21854" w:rsidRPr="00F60B4C">
              <w:rPr>
                <w:b/>
                <w:iCs/>
              </w:rPr>
              <w:t xml:space="preserve">ngagement </w:t>
            </w:r>
            <w:r w:rsidR="00CD75C2">
              <w:rPr>
                <w:b/>
                <w:iCs/>
              </w:rPr>
              <w:t>F</w:t>
            </w:r>
            <w:r w:rsidR="00E21854" w:rsidRPr="00F60B4C">
              <w:rPr>
                <w:b/>
                <w:iCs/>
              </w:rPr>
              <w:t>ramework</w:t>
            </w:r>
            <w:r w:rsidR="00E21854" w:rsidRPr="00F60B4C">
              <w:rPr>
                <w:rFonts w:eastAsia="Times New Roman" w:cs="Times New Roman"/>
                <w:lang w:eastAsia="en-GB"/>
              </w:rPr>
              <w:t xml:space="preserve">, </w:t>
            </w:r>
            <w:r>
              <w:rPr>
                <w:rFonts w:eastAsia="Times New Roman" w:cs="Times New Roman"/>
                <w:lang w:eastAsia="en-GB"/>
              </w:rPr>
              <w:t>to ensure the Standing Review is appro</w:t>
            </w:r>
            <w:r w:rsidR="00EF15D1">
              <w:rPr>
                <w:rFonts w:eastAsia="Times New Roman" w:cs="Times New Roman"/>
                <w:lang w:eastAsia="en-GB"/>
              </w:rPr>
              <w:t xml:space="preserve">priately informed by </w:t>
            </w:r>
            <w:r>
              <w:rPr>
                <w:rFonts w:eastAsia="Times New Roman" w:cs="Times New Roman"/>
                <w:lang w:eastAsia="en-GB"/>
              </w:rPr>
              <w:t xml:space="preserve">stakeholders – </w:t>
            </w:r>
            <w:r w:rsidR="00E21854" w:rsidRPr="00F60B4C">
              <w:rPr>
                <w:rFonts w:eastAsia="Times New Roman" w:cs="Times New Roman"/>
                <w:lang w:eastAsia="en-GB"/>
              </w:rPr>
              <w:t>including communication</w:t>
            </w:r>
            <w:r>
              <w:rPr>
                <w:rFonts w:eastAsia="Times New Roman" w:cs="Times New Roman"/>
                <w:lang w:eastAsia="en-GB"/>
              </w:rPr>
              <w:t xml:space="preserve"> and </w:t>
            </w:r>
            <w:r w:rsidR="00E21854" w:rsidRPr="00F60B4C">
              <w:rPr>
                <w:rFonts w:eastAsia="Times New Roman" w:cs="Times New Roman"/>
                <w:lang w:eastAsia="en-GB"/>
              </w:rPr>
              <w:t>engagement</w:t>
            </w:r>
            <w:r>
              <w:rPr>
                <w:rFonts w:eastAsia="Times New Roman" w:cs="Times New Roman"/>
                <w:lang w:eastAsia="en-GB"/>
              </w:rPr>
              <w:t xml:space="preserve"> principles,</w:t>
            </w:r>
            <w:r w:rsidR="00E21854" w:rsidRPr="00F60B4C">
              <w:rPr>
                <w:rFonts w:eastAsia="Times New Roman" w:cs="Times New Roman"/>
                <w:lang w:eastAsia="en-GB"/>
              </w:rPr>
              <w:t xml:space="preserve"> and how feedback/input will be obtained from:</w:t>
            </w:r>
          </w:p>
          <w:p w:rsidR="00984620" w:rsidRDefault="00984620" w:rsidP="009505D2">
            <w:pPr>
              <w:numPr>
                <w:ilvl w:val="0"/>
                <w:numId w:val="20"/>
              </w:numPr>
              <w:spacing w:line="276" w:lineRule="auto"/>
              <w:rPr>
                <w:rFonts w:eastAsia="Times New Roman" w:cs="Arial"/>
                <w:lang w:eastAsia="en-AU"/>
              </w:rPr>
            </w:pPr>
            <w:r>
              <w:rPr>
                <w:rFonts w:eastAsia="Times New Roman" w:cs="Arial"/>
                <w:lang w:eastAsia="en-AU"/>
              </w:rPr>
              <w:t xml:space="preserve">people with disability, their families, carers and </w:t>
            </w:r>
            <w:r w:rsidR="005A0609">
              <w:rPr>
                <w:rFonts w:eastAsia="Times New Roman" w:cs="Arial"/>
                <w:lang w:eastAsia="en-AU"/>
              </w:rPr>
              <w:t xml:space="preserve">other </w:t>
            </w:r>
            <w:r>
              <w:rPr>
                <w:rFonts w:eastAsia="Times New Roman" w:cs="Arial"/>
                <w:lang w:eastAsia="en-AU"/>
              </w:rPr>
              <w:t>supporters</w:t>
            </w:r>
          </w:p>
          <w:p w:rsidR="00984620" w:rsidRPr="00F60B4C" w:rsidRDefault="00984620" w:rsidP="009505D2">
            <w:pPr>
              <w:numPr>
                <w:ilvl w:val="0"/>
                <w:numId w:val="20"/>
              </w:numPr>
              <w:spacing w:line="276" w:lineRule="auto"/>
              <w:rPr>
                <w:rFonts w:eastAsia="Times New Roman" w:cs="Arial"/>
                <w:lang w:eastAsia="en-AU"/>
              </w:rPr>
            </w:pPr>
            <w:r w:rsidRPr="00F60B4C">
              <w:rPr>
                <w:rFonts w:eastAsia="Times New Roman" w:cs="Arial"/>
                <w:lang w:eastAsia="en-AU"/>
              </w:rPr>
              <w:t>disability sector stakeholders (</w:t>
            </w:r>
            <w:r>
              <w:rPr>
                <w:rFonts w:eastAsia="Times New Roman" w:cs="Arial"/>
                <w:lang w:eastAsia="en-AU"/>
              </w:rPr>
              <w:t>including advoca</w:t>
            </w:r>
            <w:r w:rsidR="005A0609">
              <w:rPr>
                <w:rFonts w:eastAsia="Times New Roman" w:cs="Arial"/>
                <w:lang w:eastAsia="en-AU"/>
              </w:rPr>
              <w:t>cy bodies</w:t>
            </w:r>
            <w:r>
              <w:rPr>
                <w:rFonts w:eastAsia="Times New Roman" w:cs="Arial"/>
                <w:lang w:eastAsia="en-AU"/>
              </w:rPr>
              <w:t>, providers and</w:t>
            </w:r>
            <w:r w:rsidRPr="00F60B4C">
              <w:rPr>
                <w:rFonts w:eastAsia="Times New Roman" w:cs="Arial"/>
                <w:lang w:eastAsia="en-AU"/>
              </w:rPr>
              <w:t xml:space="preserve"> peaks)</w:t>
            </w:r>
          </w:p>
          <w:p w:rsidR="00E21854" w:rsidRPr="00F60B4C" w:rsidRDefault="00E21854" w:rsidP="009505D2">
            <w:pPr>
              <w:numPr>
                <w:ilvl w:val="0"/>
                <w:numId w:val="20"/>
              </w:numPr>
              <w:spacing w:line="276" w:lineRule="auto"/>
              <w:rPr>
                <w:rFonts w:eastAsia="Calibri" w:cs="Arial"/>
                <w:color w:val="000000"/>
                <w:lang w:eastAsia="en-AU"/>
              </w:rPr>
            </w:pPr>
            <w:r w:rsidRPr="00F60B4C">
              <w:rPr>
                <w:rFonts w:eastAsia="Times New Roman" w:cs="Arial"/>
                <w:lang w:eastAsia="en-AU"/>
              </w:rPr>
              <w:t>government (</w:t>
            </w:r>
            <w:r w:rsidR="00EF15D1">
              <w:rPr>
                <w:rFonts w:eastAsia="Times New Roman" w:cs="Arial"/>
                <w:lang w:eastAsia="en-AU"/>
              </w:rPr>
              <w:t xml:space="preserve">local, NSW, </w:t>
            </w:r>
            <w:r w:rsidRPr="00F60B4C">
              <w:rPr>
                <w:rFonts w:eastAsia="Times New Roman" w:cs="Arial"/>
                <w:lang w:eastAsia="en-AU"/>
              </w:rPr>
              <w:t>Commonwealth)</w:t>
            </w:r>
            <w:r w:rsidR="00EF15D1">
              <w:rPr>
                <w:rFonts w:eastAsia="Times New Roman" w:cs="Arial"/>
                <w:lang w:eastAsia="en-AU"/>
              </w:rPr>
              <w:t>.</w:t>
            </w:r>
          </w:p>
          <w:p w:rsidR="00E21854" w:rsidRPr="00F60B4C" w:rsidRDefault="005A2589" w:rsidP="0035257A">
            <w:pPr>
              <w:pStyle w:val="xmsonormal"/>
              <w:spacing w:line="276" w:lineRule="auto"/>
              <w:rPr>
                <w:rFonts w:eastAsia="Calibri" w:cs="Arial"/>
                <w:color w:val="000000"/>
              </w:rPr>
            </w:pPr>
            <w:r w:rsidRPr="00F60B4C">
              <w:rPr>
                <w:rFonts w:asciiTheme="minorHAnsi" w:hAnsiTheme="minorHAnsi"/>
              </w:rPr>
              <w:t>Th</w:t>
            </w:r>
            <w:r w:rsidR="00BA0EDA">
              <w:rPr>
                <w:rFonts w:asciiTheme="minorHAnsi" w:hAnsiTheme="minorHAnsi"/>
              </w:rPr>
              <w:t>e frameworks</w:t>
            </w:r>
            <w:r w:rsidRPr="00F60B4C">
              <w:rPr>
                <w:rFonts w:asciiTheme="minorHAnsi" w:hAnsiTheme="minorHAnsi"/>
              </w:rPr>
              <w:t xml:space="preserve"> will </w:t>
            </w:r>
            <w:r w:rsidR="00BA0EDA">
              <w:rPr>
                <w:rFonts w:asciiTheme="minorHAnsi" w:hAnsiTheme="minorHAnsi"/>
              </w:rPr>
              <w:t xml:space="preserve">help to </w:t>
            </w:r>
            <w:r w:rsidRPr="00F60B4C">
              <w:rPr>
                <w:rFonts w:asciiTheme="minorHAnsi" w:hAnsiTheme="minorHAnsi"/>
              </w:rPr>
              <w:t>ensure that</w:t>
            </w:r>
            <w:r w:rsidR="00BA0EDA">
              <w:rPr>
                <w:rFonts w:asciiTheme="minorHAnsi" w:hAnsiTheme="minorHAnsi"/>
              </w:rPr>
              <w:t xml:space="preserve"> the</w:t>
            </w:r>
            <w:r w:rsidRPr="00F60B4C">
              <w:rPr>
                <w:rFonts w:asciiTheme="minorHAnsi" w:hAnsiTheme="minorHAnsi"/>
              </w:rPr>
              <w:t xml:space="preserve"> ADC is able to authentically engage with </w:t>
            </w:r>
            <w:r w:rsidR="00BA0EDA">
              <w:rPr>
                <w:rFonts w:asciiTheme="minorHAnsi" w:hAnsiTheme="minorHAnsi"/>
              </w:rPr>
              <w:t>key stakeholders</w:t>
            </w:r>
            <w:r w:rsidR="00CF252C">
              <w:rPr>
                <w:rFonts w:asciiTheme="minorHAnsi" w:hAnsiTheme="minorHAnsi"/>
              </w:rPr>
              <w:t>,</w:t>
            </w:r>
            <w:r w:rsidR="00BA0EDA">
              <w:rPr>
                <w:rFonts w:asciiTheme="minorHAnsi" w:hAnsiTheme="minorHAnsi"/>
              </w:rPr>
              <w:t xml:space="preserve"> </w:t>
            </w:r>
            <w:r w:rsidRPr="00F60B4C">
              <w:rPr>
                <w:rFonts w:asciiTheme="minorHAnsi" w:hAnsiTheme="minorHAnsi"/>
              </w:rPr>
              <w:t xml:space="preserve">and accurately </w:t>
            </w:r>
            <w:r w:rsidR="00CF252C">
              <w:rPr>
                <w:rFonts w:asciiTheme="minorHAnsi" w:hAnsiTheme="minorHAnsi"/>
              </w:rPr>
              <w:t xml:space="preserve">identify and </w:t>
            </w:r>
            <w:r w:rsidRPr="00F60B4C">
              <w:rPr>
                <w:rFonts w:asciiTheme="minorHAnsi" w:hAnsiTheme="minorHAnsi"/>
              </w:rPr>
              <w:t>reflect what is working well and where as a State we can better achieve the outcomes in the</w:t>
            </w:r>
            <w:r w:rsidR="00BA0EDA">
              <w:rPr>
                <w:rFonts w:asciiTheme="minorHAnsi" w:hAnsiTheme="minorHAnsi"/>
              </w:rPr>
              <w:t xml:space="preserve"> Strategy</w:t>
            </w:r>
            <w:r w:rsidRPr="00F60B4C">
              <w:rPr>
                <w:rFonts w:asciiTheme="minorHAnsi" w:hAnsiTheme="minorHAnsi"/>
              </w:rPr>
              <w:t>.</w:t>
            </w:r>
            <w:r w:rsidR="00BA0EDA">
              <w:rPr>
                <w:rFonts w:asciiTheme="minorHAnsi" w:hAnsiTheme="minorHAnsi"/>
              </w:rPr>
              <w:t xml:space="preserve"> </w:t>
            </w:r>
          </w:p>
        </w:tc>
      </w:tr>
      <w:tr w:rsidR="00245E67" w:rsidRPr="00683899" w:rsidTr="00421BF1">
        <w:tc>
          <w:tcPr>
            <w:tcW w:w="1914" w:type="dxa"/>
            <w:shd w:val="clear" w:color="auto" w:fill="002060"/>
          </w:tcPr>
          <w:p w:rsidR="00245E67" w:rsidRPr="00F60B4C" w:rsidRDefault="00E21854">
            <w:pPr>
              <w:rPr>
                <w:rFonts w:eastAsia="Calibri" w:cs="Arial"/>
                <w:b/>
                <w:color w:val="FFFFFF" w:themeColor="background1"/>
                <w:lang w:eastAsia="en-AU"/>
              </w:rPr>
            </w:pPr>
            <w:r w:rsidRPr="00F60B4C">
              <w:rPr>
                <w:rFonts w:eastAsia="Calibri" w:cs="Arial"/>
                <w:b/>
                <w:color w:val="FFFFFF" w:themeColor="background1"/>
                <w:lang w:eastAsia="en-AU"/>
              </w:rPr>
              <w:t xml:space="preserve">Qualitative and quantitative research/evidence </w:t>
            </w:r>
          </w:p>
        </w:tc>
        <w:tc>
          <w:tcPr>
            <w:tcW w:w="8280" w:type="dxa"/>
          </w:tcPr>
          <w:p w:rsidR="00E21854" w:rsidRPr="00F60B4C" w:rsidRDefault="00E21854">
            <w:pPr>
              <w:spacing w:line="276" w:lineRule="auto"/>
              <w:rPr>
                <w:i/>
                <w:iCs/>
                <w:color w:val="000000" w:themeColor="text1"/>
                <w:shd w:val="clear" w:color="auto" w:fill="FFFFFF"/>
              </w:rPr>
            </w:pPr>
            <w:r w:rsidRPr="00F60B4C">
              <w:rPr>
                <w:rFonts w:eastAsia="Calibri" w:cs="Arial"/>
                <w:color w:val="000000"/>
                <w:lang w:eastAsia="en-AU"/>
              </w:rPr>
              <w:t>The Standing Review will</w:t>
            </w:r>
            <w:r w:rsidRPr="00F60B4C">
              <w:rPr>
                <w:color w:val="000000" w:themeColor="text1"/>
              </w:rPr>
              <w:t xml:space="preserve"> </w:t>
            </w:r>
            <w:r w:rsidR="005A0609">
              <w:rPr>
                <w:color w:val="000000" w:themeColor="text1"/>
              </w:rPr>
              <w:t>involve</w:t>
            </w:r>
            <w:r w:rsidRPr="00F60B4C">
              <w:rPr>
                <w:color w:val="000000" w:themeColor="text1"/>
              </w:rPr>
              <w:t xml:space="preserve"> a number of project stages</w:t>
            </w:r>
            <w:r w:rsidRPr="00F60B4C">
              <w:t xml:space="preserve"> to collect evidence, </w:t>
            </w:r>
            <w:r w:rsidRPr="00F60B4C">
              <w:rPr>
                <w:color w:val="000000" w:themeColor="text1"/>
              </w:rPr>
              <w:t>including (but not limited to)</w:t>
            </w:r>
            <w:r w:rsidR="00E92822">
              <w:rPr>
                <w:color w:val="000000" w:themeColor="text1"/>
              </w:rPr>
              <w:t xml:space="preserve"> the ADC</w:t>
            </w:r>
            <w:r w:rsidRPr="00F60B4C">
              <w:rPr>
                <w:color w:val="000000" w:themeColor="text1"/>
              </w:rPr>
              <w:t>:</w:t>
            </w:r>
          </w:p>
          <w:p w:rsidR="00E21854" w:rsidRPr="00F60B4C" w:rsidRDefault="00B613C9" w:rsidP="009505D2">
            <w:pPr>
              <w:pStyle w:val="xmsonormal"/>
              <w:numPr>
                <w:ilvl w:val="0"/>
                <w:numId w:val="24"/>
              </w:numPr>
              <w:spacing w:line="276" w:lineRule="auto"/>
              <w:rPr>
                <w:rFonts w:asciiTheme="minorHAnsi" w:hAnsiTheme="minorHAnsi"/>
              </w:rPr>
            </w:pPr>
            <w:r>
              <w:rPr>
                <w:rFonts w:asciiTheme="minorHAnsi" w:hAnsiTheme="minorHAnsi"/>
              </w:rPr>
              <w:t xml:space="preserve">conducting </w:t>
            </w:r>
            <w:r w:rsidR="00E21854" w:rsidRPr="00F60B4C">
              <w:rPr>
                <w:rFonts w:asciiTheme="minorHAnsi" w:hAnsiTheme="minorHAnsi"/>
              </w:rPr>
              <w:t xml:space="preserve">a desktop literature review of </w:t>
            </w:r>
            <w:r w:rsidR="0056301D" w:rsidRPr="00F60B4C">
              <w:rPr>
                <w:rFonts w:asciiTheme="minorHAnsi" w:hAnsiTheme="minorHAnsi"/>
              </w:rPr>
              <w:t>publicly</w:t>
            </w:r>
            <w:r w:rsidR="00E21854" w:rsidRPr="00F60B4C">
              <w:rPr>
                <w:rFonts w:asciiTheme="minorHAnsi" w:hAnsiTheme="minorHAnsi"/>
              </w:rPr>
              <w:t xml:space="preserve"> available reports</w:t>
            </w:r>
            <w:r>
              <w:rPr>
                <w:rFonts w:asciiTheme="minorHAnsi" w:hAnsiTheme="minorHAnsi"/>
              </w:rPr>
              <w:t xml:space="preserve"> and </w:t>
            </w:r>
            <w:r w:rsidR="00E21854" w:rsidRPr="00F60B4C">
              <w:rPr>
                <w:rFonts w:asciiTheme="minorHAnsi" w:hAnsiTheme="minorHAnsi"/>
              </w:rPr>
              <w:t>evidence assessing how NSW has performed against commitments under the Strategy</w:t>
            </w:r>
          </w:p>
          <w:p w:rsidR="00E21854" w:rsidRPr="00F60B4C" w:rsidRDefault="00E21854" w:rsidP="009505D2">
            <w:pPr>
              <w:pStyle w:val="xmsonormal"/>
              <w:numPr>
                <w:ilvl w:val="0"/>
                <w:numId w:val="24"/>
              </w:numPr>
              <w:spacing w:line="276" w:lineRule="auto"/>
              <w:rPr>
                <w:rFonts w:asciiTheme="minorHAnsi" w:hAnsiTheme="minorHAnsi"/>
              </w:rPr>
            </w:pPr>
            <w:r w:rsidRPr="00F60B4C">
              <w:rPr>
                <w:rFonts w:asciiTheme="minorHAnsi" w:hAnsiTheme="minorHAnsi"/>
              </w:rPr>
              <w:lastRenderedPageBreak/>
              <w:t>examin</w:t>
            </w:r>
            <w:r w:rsidR="00B613C9">
              <w:rPr>
                <w:rFonts w:asciiTheme="minorHAnsi" w:hAnsiTheme="minorHAnsi"/>
              </w:rPr>
              <w:t>ing</w:t>
            </w:r>
            <w:r w:rsidRPr="00F60B4C">
              <w:rPr>
                <w:rFonts w:asciiTheme="minorHAnsi" w:hAnsiTheme="minorHAnsi"/>
              </w:rPr>
              <w:t xml:space="preserve"> available data sources to </w:t>
            </w:r>
            <w:r w:rsidR="00B613C9">
              <w:rPr>
                <w:rFonts w:asciiTheme="minorHAnsi" w:hAnsiTheme="minorHAnsi"/>
              </w:rPr>
              <w:t>assess</w:t>
            </w:r>
            <w:r w:rsidRPr="00F60B4C">
              <w:rPr>
                <w:rFonts w:asciiTheme="minorHAnsi" w:hAnsiTheme="minorHAnsi"/>
              </w:rPr>
              <w:t xml:space="preserve"> how NSW is progressing and achieving outcomes under the </w:t>
            </w:r>
            <w:r w:rsidR="00B613C9">
              <w:rPr>
                <w:rFonts w:asciiTheme="minorHAnsi" w:hAnsiTheme="minorHAnsi"/>
              </w:rPr>
              <w:t>S</w:t>
            </w:r>
            <w:r w:rsidRPr="00F60B4C">
              <w:rPr>
                <w:rFonts w:asciiTheme="minorHAnsi" w:hAnsiTheme="minorHAnsi"/>
              </w:rPr>
              <w:t xml:space="preserve">trategy </w:t>
            </w:r>
          </w:p>
          <w:p w:rsidR="00E21854" w:rsidRPr="00F60B4C" w:rsidRDefault="00E21854" w:rsidP="009505D2">
            <w:pPr>
              <w:pStyle w:val="xmsonormal"/>
              <w:numPr>
                <w:ilvl w:val="0"/>
                <w:numId w:val="24"/>
              </w:numPr>
              <w:spacing w:line="276" w:lineRule="auto"/>
              <w:rPr>
                <w:rFonts w:asciiTheme="minorHAnsi" w:hAnsiTheme="minorHAnsi"/>
              </w:rPr>
            </w:pPr>
            <w:r w:rsidRPr="00F60B4C">
              <w:rPr>
                <w:rFonts w:asciiTheme="minorHAnsi" w:hAnsiTheme="minorHAnsi"/>
              </w:rPr>
              <w:t>inviting government to demonstrate how the</w:t>
            </w:r>
            <w:r w:rsidR="008477E6">
              <w:rPr>
                <w:rFonts w:asciiTheme="minorHAnsi" w:hAnsiTheme="minorHAnsi"/>
              </w:rPr>
              <w:t xml:space="preserve"> Strategy has been</w:t>
            </w:r>
            <w:r w:rsidRPr="00F60B4C">
              <w:rPr>
                <w:rFonts w:asciiTheme="minorHAnsi" w:hAnsiTheme="minorHAnsi"/>
              </w:rPr>
              <w:t xml:space="preserve"> implemented, including significant achievements</w:t>
            </w:r>
            <w:r w:rsidR="008477E6">
              <w:rPr>
                <w:rFonts w:asciiTheme="minorHAnsi" w:hAnsiTheme="minorHAnsi"/>
              </w:rPr>
              <w:t xml:space="preserve"> and </w:t>
            </w:r>
            <w:r w:rsidRPr="00F60B4C">
              <w:rPr>
                <w:rFonts w:asciiTheme="minorHAnsi" w:hAnsiTheme="minorHAnsi"/>
              </w:rPr>
              <w:t xml:space="preserve">gaps against the </w:t>
            </w:r>
            <w:r w:rsidR="001136B9">
              <w:rPr>
                <w:rFonts w:asciiTheme="minorHAnsi" w:hAnsiTheme="minorHAnsi"/>
              </w:rPr>
              <w:t>o</w:t>
            </w:r>
            <w:r w:rsidR="00B95212">
              <w:rPr>
                <w:rFonts w:asciiTheme="minorHAnsi" w:hAnsiTheme="minorHAnsi"/>
              </w:rPr>
              <w:t>utcome</w:t>
            </w:r>
            <w:r w:rsidRPr="00F60B4C">
              <w:rPr>
                <w:rFonts w:asciiTheme="minorHAnsi" w:hAnsiTheme="minorHAnsi"/>
              </w:rPr>
              <w:t xml:space="preserve"> </w:t>
            </w:r>
            <w:r w:rsidR="001136B9">
              <w:rPr>
                <w:rFonts w:asciiTheme="minorHAnsi" w:hAnsiTheme="minorHAnsi"/>
              </w:rPr>
              <w:t>a</w:t>
            </w:r>
            <w:r w:rsidRPr="00F60B4C">
              <w:rPr>
                <w:rFonts w:asciiTheme="minorHAnsi" w:hAnsiTheme="minorHAnsi"/>
              </w:rPr>
              <w:t>reas</w:t>
            </w:r>
          </w:p>
          <w:p w:rsidR="00245E67" w:rsidRPr="00F60B4C" w:rsidRDefault="00E21854" w:rsidP="009505D2">
            <w:pPr>
              <w:pStyle w:val="xmsonormal"/>
              <w:numPr>
                <w:ilvl w:val="0"/>
                <w:numId w:val="24"/>
              </w:numPr>
              <w:spacing w:line="276" w:lineRule="auto"/>
              <w:rPr>
                <w:rFonts w:asciiTheme="minorHAnsi" w:eastAsia="Calibri" w:hAnsiTheme="minorHAnsi" w:cs="Arial"/>
                <w:b/>
                <w:color w:val="000000"/>
              </w:rPr>
            </w:pPr>
            <w:r w:rsidRPr="00F60B4C">
              <w:rPr>
                <w:rFonts w:asciiTheme="minorHAnsi" w:hAnsiTheme="minorHAnsi"/>
              </w:rPr>
              <w:t xml:space="preserve">inviting </w:t>
            </w:r>
            <w:r w:rsidR="00724515">
              <w:rPr>
                <w:rFonts w:asciiTheme="minorHAnsi" w:hAnsiTheme="minorHAnsi"/>
              </w:rPr>
              <w:t xml:space="preserve">people with disability, families, carers, supporters and the broader </w:t>
            </w:r>
            <w:r w:rsidRPr="00F60B4C">
              <w:rPr>
                <w:rFonts w:asciiTheme="minorHAnsi" w:hAnsiTheme="minorHAnsi"/>
              </w:rPr>
              <w:t>disability sector</w:t>
            </w:r>
            <w:r w:rsidR="00724515">
              <w:rPr>
                <w:rFonts w:asciiTheme="minorHAnsi" w:hAnsiTheme="minorHAnsi"/>
              </w:rPr>
              <w:t xml:space="preserve"> to</w:t>
            </w:r>
            <w:r w:rsidRPr="00F60B4C">
              <w:rPr>
                <w:rFonts w:asciiTheme="minorHAnsi" w:hAnsiTheme="minorHAnsi"/>
              </w:rPr>
              <w:t xml:space="preserve"> provide feedback</w:t>
            </w:r>
            <w:r w:rsidR="00724515">
              <w:rPr>
                <w:rFonts w:asciiTheme="minorHAnsi" w:hAnsiTheme="minorHAnsi"/>
              </w:rPr>
              <w:t xml:space="preserve"> </w:t>
            </w:r>
            <w:r w:rsidRPr="00F60B4C">
              <w:rPr>
                <w:rFonts w:asciiTheme="minorHAnsi" w:hAnsiTheme="minorHAnsi"/>
              </w:rPr>
              <w:t>on</w:t>
            </w:r>
            <w:r w:rsidR="00724515">
              <w:rPr>
                <w:rFonts w:asciiTheme="minorHAnsi" w:hAnsiTheme="minorHAnsi"/>
              </w:rPr>
              <w:t xml:space="preserve"> </w:t>
            </w:r>
            <w:r w:rsidR="00283F2B">
              <w:rPr>
                <w:rFonts w:asciiTheme="minorHAnsi" w:hAnsiTheme="minorHAnsi"/>
              </w:rPr>
              <w:t xml:space="preserve">implementation of the Strategy in </w:t>
            </w:r>
            <w:r w:rsidR="00724515">
              <w:rPr>
                <w:rFonts w:asciiTheme="minorHAnsi" w:hAnsiTheme="minorHAnsi"/>
              </w:rPr>
              <w:t>NSW</w:t>
            </w:r>
            <w:r w:rsidRPr="00F60B4C">
              <w:rPr>
                <w:rFonts w:asciiTheme="minorHAnsi" w:hAnsiTheme="minorHAnsi"/>
              </w:rPr>
              <w:t>, including significant achievements</w:t>
            </w:r>
            <w:r w:rsidR="00283F2B">
              <w:rPr>
                <w:rFonts w:asciiTheme="minorHAnsi" w:hAnsiTheme="minorHAnsi"/>
              </w:rPr>
              <w:t xml:space="preserve"> and </w:t>
            </w:r>
            <w:r w:rsidRPr="00F60B4C">
              <w:rPr>
                <w:rFonts w:asciiTheme="minorHAnsi" w:hAnsiTheme="minorHAnsi"/>
              </w:rPr>
              <w:t xml:space="preserve">gaps against the </w:t>
            </w:r>
            <w:r w:rsidR="001136B9">
              <w:rPr>
                <w:rFonts w:asciiTheme="minorHAnsi" w:hAnsiTheme="minorHAnsi"/>
              </w:rPr>
              <w:t>o</w:t>
            </w:r>
            <w:r w:rsidR="00283F2B">
              <w:rPr>
                <w:rFonts w:asciiTheme="minorHAnsi" w:hAnsiTheme="minorHAnsi"/>
              </w:rPr>
              <w:t>utcome</w:t>
            </w:r>
            <w:r w:rsidRPr="00F60B4C">
              <w:rPr>
                <w:rFonts w:asciiTheme="minorHAnsi" w:hAnsiTheme="minorHAnsi"/>
              </w:rPr>
              <w:t xml:space="preserve"> </w:t>
            </w:r>
            <w:r w:rsidR="001136B9">
              <w:rPr>
                <w:rFonts w:asciiTheme="minorHAnsi" w:hAnsiTheme="minorHAnsi"/>
              </w:rPr>
              <w:t>a</w:t>
            </w:r>
            <w:r w:rsidRPr="00F60B4C">
              <w:rPr>
                <w:rFonts w:asciiTheme="minorHAnsi" w:hAnsiTheme="minorHAnsi"/>
              </w:rPr>
              <w:t>reas</w:t>
            </w:r>
            <w:r w:rsidR="00283F2B">
              <w:rPr>
                <w:rFonts w:asciiTheme="minorHAnsi" w:hAnsiTheme="minorHAnsi"/>
              </w:rPr>
              <w:t>.</w:t>
            </w:r>
          </w:p>
        </w:tc>
      </w:tr>
      <w:tr w:rsidR="00E21854" w:rsidTr="00421BF1">
        <w:tc>
          <w:tcPr>
            <w:tcW w:w="1914" w:type="dxa"/>
            <w:shd w:val="clear" w:color="auto" w:fill="002060"/>
          </w:tcPr>
          <w:p w:rsidR="00E21854" w:rsidRPr="00F60B4C" w:rsidRDefault="00E21854">
            <w:pPr>
              <w:rPr>
                <w:rFonts w:eastAsia="Calibri" w:cs="Arial"/>
                <w:b/>
                <w:color w:val="FFFFFF" w:themeColor="background1"/>
                <w:lang w:eastAsia="en-AU"/>
              </w:rPr>
            </w:pPr>
            <w:r w:rsidRPr="00F60B4C">
              <w:rPr>
                <w:rFonts w:eastAsia="Calibri" w:cs="Arial"/>
                <w:b/>
                <w:color w:val="FFFFFF" w:themeColor="background1"/>
                <w:lang w:eastAsia="en-AU"/>
              </w:rPr>
              <w:lastRenderedPageBreak/>
              <w:t>In</w:t>
            </w:r>
            <w:r w:rsidR="003D7326" w:rsidRPr="00F60B4C">
              <w:rPr>
                <w:rFonts w:eastAsia="Calibri" w:cs="Arial"/>
                <w:b/>
                <w:color w:val="FFFFFF" w:themeColor="background1"/>
                <w:lang w:eastAsia="en-AU"/>
              </w:rPr>
              <w:t xml:space="preserve">put from government </w:t>
            </w:r>
            <w:r w:rsidR="007852AA" w:rsidRPr="00F60B4C">
              <w:rPr>
                <w:rFonts w:eastAsia="Calibri" w:cs="Arial"/>
                <w:b/>
                <w:color w:val="FFFFFF" w:themeColor="background1"/>
                <w:lang w:eastAsia="en-AU"/>
              </w:rPr>
              <w:t xml:space="preserve">and non-government </w:t>
            </w:r>
            <w:r w:rsidR="00CD75C2">
              <w:rPr>
                <w:rFonts w:eastAsia="Calibri" w:cs="Arial"/>
                <w:b/>
                <w:color w:val="FFFFFF" w:themeColor="background1"/>
                <w:lang w:eastAsia="en-AU"/>
              </w:rPr>
              <w:t>/ disability sector</w:t>
            </w:r>
          </w:p>
        </w:tc>
        <w:tc>
          <w:tcPr>
            <w:tcW w:w="8280" w:type="dxa"/>
          </w:tcPr>
          <w:p w:rsidR="007852AA" w:rsidRPr="00F60B4C" w:rsidRDefault="00E21854">
            <w:pPr>
              <w:spacing w:line="276" w:lineRule="auto"/>
            </w:pPr>
            <w:r w:rsidRPr="00F60B4C">
              <w:rPr>
                <w:rFonts w:eastAsia="Calibri" w:cs="Arial"/>
                <w:color w:val="000000"/>
                <w:lang w:eastAsia="en-AU"/>
              </w:rPr>
              <w:t>In addition to comments listed above regarding stakeholder engagement</w:t>
            </w:r>
            <w:r w:rsidR="00E92822">
              <w:rPr>
                <w:rFonts w:eastAsia="Calibri" w:cs="Arial"/>
                <w:color w:val="000000"/>
                <w:lang w:eastAsia="en-AU"/>
              </w:rPr>
              <w:t>,</w:t>
            </w:r>
            <w:r w:rsidRPr="00F60B4C">
              <w:rPr>
                <w:rFonts w:eastAsia="Calibri" w:cs="Arial"/>
                <w:color w:val="000000"/>
                <w:lang w:eastAsia="en-AU"/>
              </w:rPr>
              <w:t xml:space="preserve"> the ADC intends to </w:t>
            </w:r>
            <w:r w:rsidR="005A0609">
              <w:rPr>
                <w:rFonts w:eastAsia="Calibri" w:cs="Arial"/>
                <w:color w:val="000000"/>
                <w:lang w:eastAsia="en-AU"/>
              </w:rPr>
              <w:t xml:space="preserve">seek input from </w:t>
            </w:r>
            <w:r w:rsidRPr="00F60B4C">
              <w:rPr>
                <w:rFonts w:eastAsia="Calibri" w:cs="Arial"/>
                <w:color w:val="000000"/>
                <w:lang w:eastAsia="en-AU"/>
              </w:rPr>
              <w:t>government</w:t>
            </w:r>
            <w:r w:rsidR="00856D98">
              <w:rPr>
                <w:rFonts w:eastAsia="Calibri" w:cs="Arial"/>
                <w:color w:val="000000"/>
                <w:lang w:eastAsia="en-AU"/>
              </w:rPr>
              <w:t xml:space="preserve"> and </w:t>
            </w:r>
            <w:r w:rsidR="004C7231">
              <w:rPr>
                <w:rFonts w:eastAsia="Calibri" w:cs="Arial"/>
                <w:color w:val="000000"/>
                <w:lang w:eastAsia="en-AU"/>
              </w:rPr>
              <w:t xml:space="preserve">non-government disability </w:t>
            </w:r>
            <w:r w:rsidR="007852AA" w:rsidRPr="00F60B4C">
              <w:rPr>
                <w:rFonts w:eastAsia="Calibri" w:cs="Arial"/>
                <w:color w:val="000000"/>
                <w:lang w:eastAsia="en-AU"/>
              </w:rPr>
              <w:t xml:space="preserve"> agencies</w:t>
            </w:r>
            <w:r w:rsidR="00E92822">
              <w:t xml:space="preserve"> in relation to</w:t>
            </w:r>
            <w:r w:rsidR="007852AA" w:rsidRPr="00F60B4C">
              <w:t xml:space="preserve">: </w:t>
            </w:r>
          </w:p>
          <w:p w:rsidR="007852AA" w:rsidRPr="00F60B4C" w:rsidRDefault="003D7326" w:rsidP="009505D2">
            <w:pPr>
              <w:pStyle w:val="ListParagraph"/>
              <w:numPr>
                <w:ilvl w:val="0"/>
                <w:numId w:val="25"/>
              </w:numPr>
              <w:spacing w:line="276" w:lineRule="auto"/>
              <w:ind w:left="360"/>
            </w:pPr>
            <w:r w:rsidRPr="00D448C5">
              <w:t xml:space="preserve">this position paper </w:t>
            </w:r>
          </w:p>
          <w:p w:rsidR="003D7326" w:rsidRPr="00F60B4C" w:rsidRDefault="00E92822" w:rsidP="009505D2">
            <w:pPr>
              <w:pStyle w:val="ListParagraph"/>
              <w:numPr>
                <w:ilvl w:val="0"/>
                <w:numId w:val="25"/>
              </w:numPr>
              <w:spacing w:line="276" w:lineRule="auto"/>
              <w:ind w:left="360"/>
            </w:pPr>
            <w:r>
              <w:t xml:space="preserve">the </w:t>
            </w:r>
            <w:r w:rsidR="00E21854" w:rsidRPr="00D448C5">
              <w:t>develop</w:t>
            </w:r>
            <w:r>
              <w:t>ment of</w:t>
            </w:r>
            <w:r w:rsidR="00E21854" w:rsidRPr="00D448C5">
              <w:t xml:space="preserve"> a</w:t>
            </w:r>
            <w:r w:rsidR="00D448C5" w:rsidRPr="00F60B4C">
              <w:t xml:space="preserve"> government</w:t>
            </w:r>
            <w:r w:rsidR="00E21854" w:rsidRPr="00D448C5">
              <w:t xml:space="preserve"> information </w:t>
            </w:r>
            <w:r>
              <w:t>sharing arrangement</w:t>
            </w:r>
            <w:r w:rsidR="00E21854" w:rsidRPr="00D448C5">
              <w:t xml:space="preserve"> with the ADC to </w:t>
            </w:r>
            <w:r>
              <w:t>ensure the provision of</w:t>
            </w:r>
            <w:r w:rsidR="00E21854" w:rsidRPr="00D448C5">
              <w:t xml:space="preserve"> information on </w:t>
            </w:r>
            <w:r w:rsidR="00E21854" w:rsidRPr="00F60B4C">
              <w:t xml:space="preserve">how </w:t>
            </w:r>
            <w:r>
              <w:t>agencies</w:t>
            </w:r>
            <w:r w:rsidR="00E21854" w:rsidRPr="00F60B4C">
              <w:t xml:space="preserve"> have implemented the Strategy </w:t>
            </w:r>
          </w:p>
          <w:p w:rsidR="00E21854" w:rsidRPr="001136B9" w:rsidRDefault="00D448C5" w:rsidP="009505D2">
            <w:pPr>
              <w:pStyle w:val="ListParagraph"/>
              <w:numPr>
                <w:ilvl w:val="0"/>
                <w:numId w:val="25"/>
              </w:numPr>
              <w:spacing w:line="276" w:lineRule="auto"/>
              <w:ind w:left="360"/>
            </w:pPr>
            <w:r w:rsidRPr="001136B9">
              <w:t xml:space="preserve">how the ADC can </w:t>
            </w:r>
            <w:r w:rsidR="001136B9" w:rsidRPr="00835FC0">
              <w:t xml:space="preserve">best </w:t>
            </w:r>
            <w:r w:rsidRPr="001136B9">
              <w:t>obtain</w:t>
            </w:r>
            <w:r w:rsidR="00856D98">
              <w:t xml:space="preserve"> other</w:t>
            </w:r>
            <w:r w:rsidRPr="001136B9">
              <w:t xml:space="preserve"> i</w:t>
            </w:r>
            <w:r w:rsidR="007852AA" w:rsidRPr="001136B9">
              <w:t xml:space="preserve">nformation </w:t>
            </w:r>
            <w:r w:rsidRPr="001136B9">
              <w:t xml:space="preserve">for </w:t>
            </w:r>
            <w:r w:rsidR="007852AA" w:rsidRPr="001136B9">
              <w:t>its bi</w:t>
            </w:r>
            <w:r w:rsidR="001136B9" w:rsidRPr="00835FC0">
              <w:t>ennial</w:t>
            </w:r>
            <w:r w:rsidR="007852AA" w:rsidRPr="001136B9">
              <w:t xml:space="preserve"> </w:t>
            </w:r>
            <w:r w:rsidR="001136B9" w:rsidRPr="00835FC0">
              <w:t>report</w:t>
            </w:r>
            <w:r w:rsidR="007852AA" w:rsidRPr="001136B9">
              <w:t xml:space="preserve"> </w:t>
            </w:r>
          </w:p>
          <w:p w:rsidR="00CD75C2" w:rsidRPr="0056301D" w:rsidRDefault="00CD75C2" w:rsidP="009505D2">
            <w:pPr>
              <w:pStyle w:val="ListParagraph"/>
              <w:numPr>
                <w:ilvl w:val="0"/>
                <w:numId w:val="25"/>
              </w:numPr>
              <w:spacing w:line="276" w:lineRule="auto"/>
              <w:ind w:left="360"/>
            </w:pPr>
            <w:r>
              <w:t xml:space="preserve">how </w:t>
            </w:r>
            <w:r w:rsidR="002E6AA6">
              <w:t xml:space="preserve">the </w:t>
            </w:r>
            <w:r>
              <w:t xml:space="preserve">ADC can </w:t>
            </w:r>
            <w:r w:rsidR="002E6AA6">
              <w:t xml:space="preserve">best </w:t>
            </w:r>
            <w:r>
              <w:t>test and verify the information provided</w:t>
            </w:r>
            <w:r w:rsidR="002E6AA6">
              <w:t>.</w:t>
            </w:r>
          </w:p>
        </w:tc>
      </w:tr>
    </w:tbl>
    <w:p w:rsidR="005C61BE" w:rsidRPr="00F60B4C" w:rsidRDefault="005C61BE">
      <w:pPr>
        <w:rPr>
          <w:sz w:val="24"/>
          <w:szCs w:val="24"/>
        </w:rPr>
      </w:pPr>
    </w:p>
    <w:p w:rsidR="00FD27A6" w:rsidRDefault="00FD27A6">
      <w:pPr>
        <w:pStyle w:val="ListParagraph"/>
        <w:spacing w:after="0" w:line="276" w:lineRule="auto"/>
        <w:ind w:left="360"/>
        <w:rPr>
          <w:rFonts w:cstheme="minorHAnsi"/>
          <w:sz w:val="24"/>
          <w:szCs w:val="24"/>
        </w:rPr>
      </w:pPr>
    </w:p>
    <w:p w:rsidR="00FD27A6" w:rsidRDefault="00FD27A6">
      <w:pPr>
        <w:rPr>
          <w:rFonts w:cstheme="minorHAnsi"/>
          <w:sz w:val="24"/>
          <w:szCs w:val="24"/>
        </w:rPr>
      </w:pPr>
      <w:r>
        <w:rPr>
          <w:rFonts w:cstheme="minorHAnsi"/>
          <w:sz w:val="24"/>
          <w:szCs w:val="24"/>
        </w:rPr>
        <w:br w:type="page"/>
      </w:r>
    </w:p>
    <w:p w:rsidR="005C61BE" w:rsidRPr="00954D84" w:rsidRDefault="005C61BE" w:rsidP="009505D2">
      <w:pPr>
        <w:pStyle w:val="Heading1"/>
        <w:numPr>
          <w:ilvl w:val="0"/>
          <w:numId w:val="36"/>
        </w:numPr>
        <w:spacing w:before="0" w:after="120"/>
        <w:rPr>
          <w:rFonts w:ascii="Arial Black" w:hAnsi="Arial Black"/>
          <w:b/>
          <w:bCs/>
          <w:sz w:val="40"/>
          <w:szCs w:val="40"/>
        </w:rPr>
      </w:pPr>
      <w:bookmarkStart w:id="4" w:name="_Toc50989015"/>
      <w:r w:rsidRPr="00954D84">
        <w:rPr>
          <w:rFonts w:ascii="Arial Black" w:hAnsi="Arial Black"/>
          <w:b/>
          <w:bCs/>
          <w:sz w:val="40"/>
          <w:szCs w:val="40"/>
        </w:rPr>
        <w:lastRenderedPageBreak/>
        <w:t>What the ADC wants to</w:t>
      </w:r>
      <w:r w:rsidR="0056301D" w:rsidRPr="00954D84">
        <w:rPr>
          <w:rFonts w:ascii="Arial Black" w:hAnsi="Arial Black"/>
          <w:b/>
          <w:bCs/>
          <w:sz w:val="40"/>
          <w:szCs w:val="40"/>
        </w:rPr>
        <w:t xml:space="preserve"> </w:t>
      </w:r>
      <w:r w:rsidRPr="00954D84">
        <w:rPr>
          <w:rFonts w:ascii="Arial Black" w:hAnsi="Arial Black"/>
          <w:b/>
          <w:bCs/>
          <w:sz w:val="40"/>
          <w:szCs w:val="40"/>
        </w:rPr>
        <w:t>know</w:t>
      </w:r>
      <w:bookmarkEnd w:id="4"/>
    </w:p>
    <w:p w:rsidR="00FD27A6" w:rsidRDefault="002E6AA6">
      <w:pPr>
        <w:spacing w:after="120" w:line="276" w:lineRule="auto"/>
        <w:rPr>
          <w:sz w:val="24"/>
          <w:szCs w:val="24"/>
        </w:rPr>
      </w:pPr>
      <w:r>
        <w:rPr>
          <w:sz w:val="24"/>
          <w:szCs w:val="24"/>
        </w:rPr>
        <w:t>T</w:t>
      </w:r>
      <w:r w:rsidR="009C2DF0">
        <w:rPr>
          <w:sz w:val="24"/>
          <w:szCs w:val="24"/>
        </w:rPr>
        <w:t>o inform the development of the Standing Review, we are</w:t>
      </w:r>
      <w:r w:rsidR="005C61BE" w:rsidRPr="0056301D">
        <w:rPr>
          <w:sz w:val="24"/>
          <w:szCs w:val="24"/>
        </w:rPr>
        <w:t xml:space="preserve"> seeking feedback from key stakeholders in relation to this </w:t>
      </w:r>
      <w:r w:rsidR="009C2DF0">
        <w:rPr>
          <w:sz w:val="24"/>
          <w:szCs w:val="24"/>
        </w:rPr>
        <w:t>p</w:t>
      </w:r>
      <w:r w:rsidR="005C61BE" w:rsidRPr="0056301D">
        <w:rPr>
          <w:sz w:val="24"/>
          <w:szCs w:val="24"/>
        </w:rPr>
        <w:t xml:space="preserve">osition </w:t>
      </w:r>
      <w:r w:rsidR="009C2DF0">
        <w:rPr>
          <w:sz w:val="24"/>
          <w:szCs w:val="24"/>
        </w:rPr>
        <w:t>p</w:t>
      </w:r>
      <w:r w:rsidR="005C61BE" w:rsidRPr="0056301D">
        <w:rPr>
          <w:sz w:val="24"/>
          <w:szCs w:val="24"/>
        </w:rPr>
        <w:t>aper</w:t>
      </w:r>
      <w:r w:rsidR="00CD75C2">
        <w:rPr>
          <w:sz w:val="24"/>
          <w:szCs w:val="24"/>
        </w:rPr>
        <w:t xml:space="preserve">. </w:t>
      </w:r>
      <w:r w:rsidR="005A2589">
        <w:rPr>
          <w:sz w:val="24"/>
          <w:szCs w:val="24"/>
        </w:rPr>
        <w:t>This is a limited consultation</w:t>
      </w:r>
      <w:r w:rsidR="00FD27A6">
        <w:rPr>
          <w:sz w:val="24"/>
          <w:szCs w:val="24"/>
        </w:rPr>
        <w:t xml:space="preserve"> </w:t>
      </w:r>
      <w:r w:rsidR="00F57F02">
        <w:rPr>
          <w:sz w:val="24"/>
          <w:szCs w:val="24"/>
        </w:rPr>
        <w:t xml:space="preserve">process </w:t>
      </w:r>
      <w:r w:rsidR="00FD27A6">
        <w:rPr>
          <w:sz w:val="24"/>
          <w:szCs w:val="24"/>
        </w:rPr>
        <w:t>to</w:t>
      </w:r>
      <w:r w:rsidR="005A2589">
        <w:rPr>
          <w:sz w:val="24"/>
          <w:szCs w:val="24"/>
        </w:rPr>
        <w:t xml:space="preserve"> help </w:t>
      </w:r>
      <w:r w:rsidR="00FD27A6">
        <w:rPr>
          <w:sz w:val="24"/>
          <w:szCs w:val="24"/>
        </w:rPr>
        <w:t>refine the ADC’s approach</w:t>
      </w:r>
      <w:r w:rsidR="009C2DF0">
        <w:rPr>
          <w:sz w:val="24"/>
          <w:szCs w:val="24"/>
        </w:rPr>
        <w:t>,</w:t>
      </w:r>
      <w:r w:rsidR="00FD27A6">
        <w:rPr>
          <w:sz w:val="24"/>
          <w:szCs w:val="24"/>
        </w:rPr>
        <w:t xml:space="preserve"> </w:t>
      </w:r>
      <w:r w:rsidR="009C2DF0">
        <w:rPr>
          <w:sz w:val="24"/>
          <w:szCs w:val="24"/>
        </w:rPr>
        <w:t>particularly in relation to the following</w:t>
      </w:r>
      <w:r w:rsidR="00CB2388">
        <w:rPr>
          <w:sz w:val="24"/>
          <w:szCs w:val="24"/>
        </w:rPr>
        <w:t>:</w:t>
      </w:r>
    </w:p>
    <w:tbl>
      <w:tblPr>
        <w:tblStyle w:val="TableGrid"/>
        <w:tblW w:w="0" w:type="auto"/>
        <w:tblLook w:val="04A0" w:firstRow="1" w:lastRow="0" w:firstColumn="1" w:lastColumn="0" w:noHBand="0" w:noVBand="1"/>
        <w:tblCaption w:val="What ADC wants to know"/>
        <w:tblDescription w:val="This table outlines a number of discussion questions on; the approach to establishing a Standing review, the principles that should guuide the Standing review framwork and stakeholder engagement framework, specific areas of focus and any other suggestions"/>
      </w:tblPr>
      <w:tblGrid>
        <w:gridCol w:w="2830"/>
        <w:gridCol w:w="7088"/>
      </w:tblGrid>
      <w:tr w:rsidR="00FC7C5E" w:rsidRPr="00F57F02" w:rsidTr="00421BF1">
        <w:trPr>
          <w:tblHeader/>
        </w:trPr>
        <w:tc>
          <w:tcPr>
            <w:tcW w:w="2830" w:type="dxa"/>
            <w:shd w:val="clear" w:color="auto" w:fill="002060"/>
          </w:tcPr>
          <w:p w:rsidR="00FC7C5E" w:rsidRPr="00F60B4C" w:rsidRDefault="00FC7C5E">
            <w:pPr>
              <w:spacing w:line="276" w:lineRule="auto"/>
              <w:rPr>
                <w:b/>
                <w:caps/>
              </w:rPr>
            </w:pPr>
            <w:r w:rsidRPr="00F60B4C">
              <w:rPr>
                <w:b/>
                <w:caps/>
              </w:rPr>
              <w:t>topic</w:t>
            </w:r>
          </w:p>
        </w:tc>
        <w:tc>
          <w:tcPr>
            <w:tcW w:w="7088" w:type="dxa"/>
            <w:shd w:val="clear" w:color="auto" w:fill="002060"/>
          </w:tcPr>
          <w:p w:rsidR="00FC7C5E" w:rsidRDefault="00FC7C5E">
            <w:pPr>
              <w:spacing w:line="276" w:lineRule="auto"/>
              <w:rPr>
                <w:b/>
                <w:caps/>
              </w:rPr>
            </w:pPr>
            <w:r w:rsidRPr="00F60B4C">
              <w:rPr>
                <w:b/>
                <w:caps/>
              </w:rPr>
              <w:t xml:space="preserve">Question </w:t>
            </w:r>
          </w:p>
          <w:p w:rsidR="00FC7C5E" w:rsidRPr="00F60B4C" w:rsidRDefault="00FC7C5E">
            <w:pPr>
              <w:spacing w:line="276" w:lineRule="auto"/>
              <w:rPr>
                <w:b/>
                <w:caps/>
              </w:rPr>
            </w:pPr>
          </w:p>
        </w:tc>
      </w:tr>
      <w:tr w:rsidR="00FC7C5E" w:rsidRPr="00F57F02" w:rsidTr="009004B9">
        <w:tc>
          <w:tcPr>
            <w:tcW w:w="2830" w:type="dxa"/>
            <w:shd w:val="clear" w:color="auto" w:fill="002060"/>
          </w:tcPr>
          <w:p w:rsidR="00FC7C5E" w:rsidRPr="00F60B4C" w:rsidRDefault="00FC7C5E">
            <w:pPr>
              <w:spacing w:line="276" w:lineRule="auto"/>
              <w:rPr>
                <w:b/>
              </w:rPr>
            </w:pPr>
            <w:r w:rsidRPr="00F60B4C">
              <w:rPr>
                <w:b/>
              </w:rPr>
              <w:t xml:space="preserve">The approach </w:t>
            </w:r>
          </w:p>
        </w:tc>
        <w:tc>
          <w:tcPr>
            <w:tcW w:w="7088" w:type="dxa"/>
          </w:tcPr>
          <w:p w:rsidR="00FC7C5E" w:rsidRPr="00835FC0" w:rsidRDefault="00FC7C5E">
            <w:pPr>
              <w:pStyle w:val="ListParagraph"/>
              <w:spacing w:line="276" w:lineRule="auto"/>
              <w:ind w:left="0"/>
            </w:pPr>
            <w:r w:rsidRPr="00835FC0">
              <w:t xml:space="preserve">What do you think about the approach of the Standing Review, outlined in section 2, for monitoring, assessing and reporting on the implementation of the Strategy in NSW? </w:t>
            </w:r>
          </w:p>
          <w:p w:rsidR="00FC7C5E" w:rsidRPr="00842FC0" w:rsidRDefault="00FC7C5E">
            <w:pPr>
              <w:pStyle w:val="ListParagraph"/>
              <w:spacing w:line="276" w:lineRule="auto"/>
              <w:ind w:left="0"/>
            </w:pPr>
          </w:p>
          <w:p w:rsidR="00FC7C5E" w:rsidRPr="00842FC0" w:rsidRDefault="00FC7C5E">
            <w:pPr>
              <w:pStyle w:val="ListParagraph"/>
              <w:spacing w:line="276" w:lineRule="auto"/>
              <w:ind w:left="0"/>
            </w:pPr>
            <w:r w:rsidRPr="00842FC0">
              <w:t>Have we missed anything?</w:t>
            </w:r>
          </w:p>
          <w:p w:rsidR="00FC7C5E" w:rsidRPr="00842FC0" w:rsidRDefault="00FC7C5E">
            <w:pPr>
              <w:pStyle w:val="ListParagraph"/>
              <w:spacing w:line="276" w:lineRule="auto"/>
              <w:ind w:left="0"/>
            </w:pPr>
          </w:p>
          <w:p w:rsidR="00FC7C5E" w:rsidRPr="00842FC0" w:rsidRDefault="00FC7C5E">
            <w:pPr>
              <w:spacing w:after="60" w:line="276" w:lineRule="auto"/>
            </w:pPr>
            <w:r w:rsidRPr="00842FC0">
              <w:t>Is the biennial (every 2 years) timeframe for the Standing Review appropriate?</w:t>
            </w:r>
          </w:p>
        </w:tc>
      </w:tr>
      <w:tr w:rsidR="00FC7C5E" w:rsidRPr="00F57F02" w:rsidTr="009004B9">
        <w:tc>
          <w:tcPr>
            <w:tcW w:w="2830" w:type="dxa"/>
            <w:shd w:val="clear" w:color="auto" w:fill="002060"/>
          </w:tcPr>
          <w:p w:rsidR="00FC7C5E" w:rsidRPr="00D54256" w:rsidRDefault="00FC7C5E">
            <w:pPr>
              <w:spacing w:line="276" w:lineRule="auto"/>
              <w:rPr>
                <w:b/>
              </w:rPr>
            </w:pPr>
            <w:r w:rsidRPr="00D54256">
              <w:rPr>
                <w:b/>
              </w:rPr>
              <w:t xml:space="preserve">Standing Review Framework </w:t>
            </w:r>
          </w:p>
        </w:tc>
        <w:tc>
          <w:tcPr>
            <w:tcW w:w="7088" w:type="dxa"/>
          </w:tcPr>
          <w:p w:rsidR="00FC7C5E" w:rsidRPr="00886497" w:rsidRDefault="00FC7C5E">
            <w:pPr>
              <w:spacing w:after="60" w:line="276" w:lineRule="auto"/>
              <w:rPr>
                <w:rFonts w:cs="Arial"/>
                <w:lang w:val="en-US"/>
              </w:rPr>
            </w:pPr>
            <w:r w:rsidRPr="00886497">
              <w:t xml:space="preserve">What principles should guide the development of the </w:t>
            </w:r>
            <w:r w:rsidRPr="00886497">
              <w:rPr>
                <w:rFonts w:cs="Arial"/>
                <w:lang w:val="en-US"/>
              </w:rPr>
              <w:t>Standing Review Framework, including:</w:t>
            </w:r>
          </w:p>
          <w:p w:rsidR="00FC7C5E" w:rsidRPr="00886497" w:rsidRDefault="00FC7C5E" w:rsidP="009505D2">
            <w:pPr>
              <w:pStyle w:val="ListParagraph"/>
              <w:numPr>
                <w:ilvl w:val="0"/>
                <w:numId w:val="27"/>
              </w:numPr>
              <w:spacing w:after="60" w:line="276" w:lineRule="auto"/>
            </w:pPr>
            <w:r w:rsidRPr="00886497">
              <w:t>How do you think the ADC should fulfil its function to ‘monitor, assess and report’ on the NSW implementation of the Strategy?</w:t>
            </w:r>
          </w:p>
          <w:p w:rsidR="00FC7C5E" w:rsidRPr="00886497" w:rsidRDefault="00FC7C5E" w:rsidP="009505D2">
            <w:pPr>
              <w:pStyle w:val="xmsonormal"/>
              <w:numPr>
                <w:ilvl w:val="0"/>
                <w:numId w:val="27"/>
              </w:numPr>
              <w:spacing w:after="60" w:line="276" w:lineRule="auto"/>
              <w:rPr>
                <w:rFonts w:asciiTheme="minorHAnsi" w:hAnsiTheme="minorHAnsi"/>
                <w:iCs/>
                <w:shd w:val="clear" w:color="auto" w:fill="FFFFFF"/>
              </w:rPr>
            </w:pPr>
            <w:r w:rsidRPr="00886497">
              <w:rPr>
                <w:rFonts w:asciiTheme="minorHAnsi" w:hAnsiTheme="minorHAnsi"/>
              </w:rPr>
              <w:t>H</w:t>
            </w:r>
            <w:r w:rsidRPr="00886497">
              <w:rPr>
                <w:rFonts w:asciiTheme="minorHAnsi" w:hAnsiTheme="minorHAnsi"/>
                <w:iCs/>
                <w:shd w:val="clear" w:color="auto" w:fill="FFFFFF"/>
              </w:rPr>
              <w:t xml:space="preserve">ow should the ADC ensure accountability and transparency in its reporting on the implementation of the Strategy in NSW? </w:t>
            </w:r>
          </w:p>
          <w:p w:rsidR="00FC7C5E" w:rsidRPr="00886497" w:rsidRDefault="00FC7C5E" w:rsidP="009505D2">
            <w:pPr>
              <w:pStyle w:val="xmsonormal"/>
              <w:numPr>
                <w:ilvl w:val="0"/>
                <w:numId w:val="27"/>
              </w:numPr>
              <w:spacing w:after="60" w:line="276" w:lineRule="auto"/>
              <w:rPr>
                <w:rFonts w:asciiTheme="minorHAnsi" w:hAnsiTheme="minorHAnsi"/>
                <w:iCs/>
                <w:shd w:val="clear" w:color="auto" w:fill="FFFFFF"/>
              </w:rPr>
            </w:pPr>
            <w:r w:rsidRPr="00886497">
              <w:t>How can the Standing Review best add value to the implementation process for the Strategy in NSW?</w:t>
            </w:r>
          </w:p>
        </w:tc>
      </w:tr>
      <w:tr w:rsidR="00FC7C5E" w:rsidRPr="00F57F02" w:rsidTr="009004B9">
        <w:tc>
          <w:tcPr>
            <w:tcW w:w="2830" w:type="dxa"/>
            <w:shd w:val="clear" w:color="auto" w:fill="002060"/>
          </w:tcPr>
          <w:p w:rsidR="00FC7C5E" w:rsidRPr="00F60B4C" w:rsidRDefault="00FC7C5E">
            <w:pPr>
              <w:spacing w:line="276" w:lineRule="auto"/>
            </w:pPr>
            <w:r w:rsidRPr="00F60B4C">
              <w:rPr>
                <w:b/>
                <w:iCs/>
              </w:rPr>
              <w:t xml:space="preserve">Stakeholder </w:t>
            </w:r>
            <w:r>
              <w:rPr>
                <w:b/>
                <w:iCs/>
              </w:rPr>
              <w:t>E</w:t>
            </w:r>
            <w:r w:rsidRPr="00F60B4C">
              <w:rPr>
                <w:b/>
                <w:iCs/>
              </w:rPr>
              <w:t xml:space="preserve">ngagement </w:t>
            </w:r>
            <w:r>
              <w:rPr>
                <w:b/>
                <w:iCs/>
              </w:rPr>
              <w:t>F</w:t>
            </w:r>
            <w:r w:rsidRPr="00F60B4C">
              <w:rPr>
                <w:b/>
                <w:iCs/>
              </w:rPr>
              <w:t>ramework</w:t>
            </w:r>
          </w:p>
        </w:tc>
        <w:tc>
          <w:tcPr>
            <w:tcW w:w="7088" w:type="dxa"/>
          </w:tcPr>
          <w:p w:rsidR="00FC7C5E" w:rsidRPr="00886497" w:rsidRDefault="00FC7C5E">
            <w:pPr>
              <w:spacing w:after="60" w:line="276" w:lineRule="auto"/>
            </w:pPr>
            <w:r w:rsidRPr="00886497">
              <w:t xml:space="preserve">What principles should guide the development of the </w:t>
            </w:r>
            <w:r w:rsidRPr="00886497">
              <w:rPr>
                <w:iCs/>
              </w:rPr>
              <w:t>Stakeholder Engagement Framework, including:</w:t>
            </w:r>
          </w:p>
          <w:p w:rsidR="00FC7C5E" w:rsidRPr="00886497" w:rsidRDefault="00FC7C5E" w:rsidP="009505D2">
            <w:pPr>
              <w:pStyle w:val="xmsonormal"/>
              <w:numPr>
                <w:ilvl w:val="0"/>
                <w:numId w:val="26"/>
              </w:numPr>
              <w:spacing w:after="60" w:line="276" w:lineRule="auto"/>
              <w:ind w:left="313"/>
              <w:rPr>
                <w:rFonts w:asciiTheme="minorHAnsi" w:hAnsiTheme="minorHAnsi"/>
                <w:iCs/>
                <w:shd w:val="clear" w:color="auto" w:fill="FFFFFF"/>
              </w:rPr>
            </w:pPr>
            <w:r w:rsidRPr="00886497">
              <w:rPr>
                <w:rFonts w:asciiTheme="minorHAnsi" w:hAnsiTheme="minorHAnsi"/>
                <w:iCs/>
                <w:shd w:val="clear" w:color="auto" w:fill="FFFFFF"/>
              </w:rPr>
              <w:t>the best ways to consult and engage with people with disability, their supporters, and the broader disability sector – including to support genuine involvement and minimise duplication and consultation fatigue</w:t>
            </w:r>
          </w:p>
          <w:p w:rsidR="00FC7C5E" w:rsidRPr="00886497" w:rsidRDefault="00FC7C5E" w:rsidP="009505D2">
            <w:pPr>
              <w:pStyle w:val="xmsonormal"/>
              <w:numPr>
                <w:ilvl w:val="0"/>
                <w:numId w:val="26"/>
              </w:numPr>
              <w:spacing w:after="60" w:line="276" w:lineRule="auto"/>
              <w:ind w:left="313"/>
              <w:rPr>
                <w:rFonts w:asciiTheme="minorHAnsi" w:hAnsiTheme="minorHAnsi"/>
                <w:iCs/>
                <w:shd w:val="clear" w:color="auto" w:fill="FFFFFF"/>
              </w:rPr>
            </w:pPr>
            <w:r w:rsidRPr="00886497">
              <w:rPr>
                <w:rFonts w:asciiTheme="minorHAnsi" w:hAnsiTheme="minorHAnsi"/>
                <w:iCs/>
                <w:shd w:val="clear" w:color="auto" w:fill="FFFFFF"/>
              </w:rPr>
              <w:t xml:space="preserve">the best ways to consult and engage with local and NSW government agencies – including to support the provision of meaningful information and minimise imposts associated with reporting </w:t>
            </w:r>
          </w:p>
          <w:p w:rsidR="00FC7C5E" w:rsidRPr="00886497" w:rsidRDefault="00FC7C5E" w:rsidP="009505D2">
            <w:pPr>
              <w:pStyle w:val="ListParagraph"/>
              <w:numPr>
                <w:ilvl w:val="0"/>
                <w:numId w:val="26"/>
              </w:numPr>
              <w:spacing w:after="60" w:line="276" w:lineRule="auto"/>
            </w:pPr>
            <w:r w:rsidRPr="00886497">
              <w:rPr>
                <w:iCs/>
                <w:shd w:val="clear" w:color="auto" w:fill="FFFFFF"/>
              </w:rPr>
              <w:t xml:space="preserve">the best ways to communicate with stakeholders about the Standing Review, including </w:t>
            </w:r>
            <w:r>
              <w:rPr>
                <w:iCs/>
                <w:shd w:val="clear" w:color="auto" w:fill="FFFFFF"/>
              </w:rPr>
              <w:t xml:space="preserve">progress with </w:t>
            </w:r>
            <w:r w:rsidRPr="00886497">
              <w:rPr>
                <w:iCs/>
                <w:shd w:val="clear" w:color="auto" w:fill="FFFFFF"/>
              </w:rPr>
              <w:t>key st</w:t>
            </w:r>
            <w:r>
              <w:rPr>
                <w:iCs/>
                <w:shd w:val="clear" w:color="auto" w:fill="FFFFFF"/>
              </w:rPr>
              <w:t>ages</w:t>
            </w:r>
            <w:r w:rsidRPr="00886497">
              <w:rPr>
                <w:iCs/>
                <w:shd w:val="clear" w:color="auto" w:fill="FFFFFF"/>
              </w:rPr>
              <w:t xml:space="preserve">, </w:t>
            </w:r>
            <w:r>
              <w:rPr>
                <w:iCs/>
                <w:shd w:val="clear" w:color="auto" w:fill="FFFFFF"/>
              </w:rPr>
              <w:t>and reports</w:t>
            </w:r>
            <w:r w:rsidRPr="00886497">
              <w:rPr>
                <w:iCs/>
                <w:shd w:val="clear" w:color="auto" w:fill="FFFFFF"/>
              </w:rPr>
              <w:t xml:space="preserve">.  </w:t>
            </w:r>
          </w:p>
        </w:tc>
      </w:tr>
      <w:tr w:rsidR="00FC7C5E" w:rsidRPr="00F57F02" w:rsidTr="009004B9">
        <w:tc>
          <w:tcPr>
            <w:tcW w:w="2830" w:type="dxa"/>
            <w:shd w:val="clear" w:color="auto" w:fill="002060"/>
          </w:tcPr>
          <w:p w:rsidR="00FC7C5E" w:rsidRPr="00F60B4C" w:rsidRDefault="00FC7C5E">
            <w:pPr>
              <w:spacing w:line="276" w:lineRule="auto"/>
              <w:rPr>
                <w:b/>
                <w:iCs/>
              </w:rPr>
            </w:pPr>
            <w:r w:rsidRPr="00F60B4C">
              <w:rPr>
                <w:b/>
                <w:iCs/>
              </w:rPr>
              <w:t xml:space="preserve">Focus areas </w:t>
            </w:r>
          </w:p>
        </w:tc>
        <w:tc>
          <w:tcPr>
            <w:tcW w:w="7088" w:type="dxa"/>
          </w:tcPr>
          <w:p w:rsidR="00FC7C5E" w:rsidRPr="00244208" w:rsidRDefault="00FC7C5E">
            <w:pPr>
              <w:spacing w:after="60" w:line="276" w:lineRule="auto"/>
            </w:pPr>
            <w:r w:rsidRPr="00244208">
              <w:t>Should the Standing Review focus on</w:t>
            </w:r>
            <w:r w:rsidRPr="00835FC0">
              <w:t xml:space="preserve"> specific aspects</w:t>
            </w:r>
            <w:r>
              <w:t xml:space="preserve"> for in depth review</w:t>
            </w:r>
            <w:r w:rsidRPr="00835FC0">
              <w:t>? For example</w:t>
            </w:r>
            <w:r w:rsidRPr="00244208">
              <w:t>:</w:t>
            </w:r>
          </w:p>
          <w:p w:rsidR="00FC7C5E" w:rsidRPr="00244208" w:rsidRDefault="00FC7C5E" w:rsidP="00A2519B">
            <w:pPr>
              <w:pStyle w:val="ListParagraph"/>
              <w:numPr>
                <w:ilvl w:val="0"/>
                <w:numId w:val="15"/>
              </w:numPr>
              <w:spacing w:after="60" w:line="276" w:lineRule="auto"/>
            </w:pPr>
            <w:r w:rsidRPr="00835FC0">
              <w:rPr>
                <w:iCs/>
                <w:shd w:val="clear" w:color="auto" w:fill="FFFFFF"/>
              </w:rPr>
              <w:t xml:space="preserve">A specific outcome </w:t>
            </w:r>
            <w:r w:rsidRPr="00244208">
              <w:rPr>
                <w:iCs/>
                <w:shd w:val="clear" w:color="auto" w:fill="FFFFFF"/>
              </w:rPr>
              <w:t>area</w:t>
            </w:r>
            <w:r w:rsidRPr="00835FC0">
              <w:rPr>
                <w:iCs/>
                <w:shd w:val="clear" w:color="auto" w:fill="FFFFFF"/>
              </w:rPr>
              <w:t>(</w:t>
            </w:r>
            <w:r w:rsidRPr="00244208">
              <w:rPr>
                <w:iCs/>
                <w:shd w:val="clear" w:color="auto" w:fill="FFFFFF"/>
              </w:rPr>
              <w:t>s</w:t>
            </w:r>
            <w:r w:rsidRPr="00835FC0">
              <w:rPr>
                <w:iCs/>
                <w:shd w:val="clear" w:color="auto" w:fill="FFFFFF"/>
              </w:rPr>
              <w:t>)?</w:t>
            </w:r>
            <w:r w:rsidRPr="00244208">
              <w:rPr>
                <w:iCs/>
                <w:shd w:val="clear" w:color="auto" w:fill="FFFFFF"/>
              </w:rPr>
              <w:t xml:space="preserve"> Which </w:t>
            </w:r>
            <w:r w:rsidRPr="00835FC0">
              <w:rPr>
                <w:iCs/>
                <w:shd w:val="clear" w:color="auto" w:fill="FFFFFF"/>
              </w:rPr>
              <w:t>ones should be a priority to examine</w:t>
            </w:r>
            <w:r w:rsidRPr="00244208">
              <w:rPr>
                <w:iCs/>
                <w:shd w:val="clear" w:color="auto" w:fill="FFFFFF"/>
              </w:rPr>
              <w:t>?</w:t>
            </w:r>
          </w:p>
          <w:p w:rsidR="00FC7C5E" w:rsidRDefault="00FC7C5E" w:rsidP="00A2519B">
            <w:pPr>
              <w:pStyle w:val="ListParagraph"/>
              <w:numPr>
                <w:ilvl w:val="0"/>
                <w:numId w:val="15"/>
              </w:numPr>
              <w:spacing w:after="60" w:line="276" w:lineRule="auto"/>
            </w:pPr>
            <w:r w:rsidRPr="00835FC0">
              <w:rPr>
                <w:iCs/>
                <w:shd w:val="clear" w:color="auto" w:fill="FFFFFF"/>
              </w:rPr>
              <w:t>P</w:t>
            </w:r>
            <w:r w:rsidRPr="00244208">
              <w:rPr>
                <w:iCs/>
                <w:shd w:val="clear" w:color="auto" w:fill="FFFFFF"/>
              </w:rPr>
              <w:t>articular a</w:t>
            </w:r>
            <w:r w:rsidRPr="00835FC0">
              <w:rPr>
                <w:iCs/>
                <w:shd w:val="clear" w:color="auto" w:fill="FFFFFF"/>
              </w:rPr>
              <w:t>spects</w:t>
            </w:r>
            <w:r w:rsidRPr="00244208">
              <w:rPr>
                <w:iCs/>
                <w:shd w:val="clear" w:color="auto" w:fill="FFFFFF"/>
              </w:rPr>
              <w:t xml:space="preserve"> </w:t>
            </w:r>
            <w:r w:rsidRPr="00244208">
              <w:t>of the NSW implementation process?  Eg</w:t>
            </w:r>
            <w:r w:rsidRPr="00835FC0">
              <w:t xml:space="preserve">: data, </w:t>
            </w:r>
            <w:r w:rsidRPr="00244208">
              <w:t>governance, reporting?</w:t>
            </w:r>
          </w:p>
          <w:p w:rsidR="00FC7C5E" w:rsidRPr="00244208" w:rsidRDefault="00FC7C5E" w:rsidP="00A2519B">
            <w:pPr>
              <w:pStyle w:val="ListParagraph"/>
              <w:numPr>
                <w:ilvl w:val="0"/>
                <w:numId w:val="15"/>
              </w:numPr>
              <w:spacing w:after="60" w:line="276" w:lineRule="auto"/>
            </w:pPr>
            <w:r>
              <w:t>Particular portfolio areas eg health, education, transport, housing, law and justice?</w:t>
            </w:r>
          </w:p>
          <w:p w:rsidR="00FC7C5E" w:rsidRPr="00244208" w:rsidRDefault="00FC7C5E" w:rsidP="00A2519B">
            <w:pPr>
              <w:pStyle w:val="ListParagraph"/>
              <w:numPr>
                <w:ilvl w:val="0"/>
                <w:numId w:val="15"/>
              </w:numPr>
              <w:spacing w:line="276" w:lineRule="auto"/>
            </w:pPr>
            <w:r>
              <w:t>Noting the current Strategy is due to expire</w:t>
            </w:r>
            <w:r w:rsidRPr="00244208">
              <w:t xml:space="preserve"> </w:t>
            </w:r>
            <w:r>
              <w:t>h</w:t>
            </w:r>
            <w:r w:rsidRPr="00244208">
              <w:t xml:space="preserve">ow far back should </w:t>
            </w:r>
            <w:r w:rsidRPr="00835FC0">
              <w:t xml:space="preserve">the </w:t>
            </w:r>
            <w:r w:rsidRPr="00244208">
              <w:t xml:space="preserve">ADC </w:t>
            </w:r>
            <w:r w:rsidRPr="00835FC0">
              <w:t>assess the</w:t>
            </w:r>
            <w:r w:rsidRPr="00244208">
              <w:t xml:space="preserve"> implementation of the </w:t>
            </w:r>
            <w:r w:rsidRPr="00835FC0">
              <w:t>current Strategy</w:t>
            </w:r>
            <w:r w:rsidRPr="00244208">
              <w:t>?</w:t>
            </w:r>
            <w:r>
              <w:t xml:space="preserve"> Is 2 years reasonable?</w:t>
            </w:r>
          </w:p>
          <w:p w:rsidR="00FC7C5E" w:rsidRPr="00244208" w:rsidRDefault="00FC7C5E" w:rsidP="006C10B2">
            <w:pPr>
              <w:pStyle w:val="ListParagraph"/>
              <w:spacing w:line="276" w:lineRule="auto"/>
              <w:ind w:left="360"/>
            </w:pPr>
          </w:p>
        </w:tc>
      </w:tr>
      <w:tr w:rsidR="00FC7C5E" w:rsidRPr="00F57F02" w:rsidTr="009004B9">
        <w:tc>
          <w:tcPr>
            <w:tcW w:w="2830" w:type="dxa"/>
            <w:shd w:val="clear" w:color="auto" w:fill="002060"/>
          </w:tcPr>
          <w:p w:rsidR="00FC7C5E" w:rsidRPr="00F60B4C" w:rsidRDefault="00FC7C5E">
            <w:pPr>
              <w:spacing w:line="276" w:lineRule="auto"/>
              <w:rPr>
                <w:b/>
                <w:iCs/>
              </w:rPr>
            </w:pPr>
            <w:r>
              <w:rPr>
                <w:b/>
                <w:iCs/>
              </w:rPr>
              <w:lastRenderedPageBreak/>
              <w:t xml:space="preserve">Other questions </w:t>
            </w:r>
          </w:p>
        </w:tc>
        <w:tc>
          <w:tcPr>
            <w:tcW w:w="7088" w:type="dxa"/>
          </w:tcPr>
          <w:p w:rsidR="00FC7C5E" w:rsidRPr="00886497" w:rsidRDefault="00FC7C5E">
            <w:pPr>
              <w:spacing w:after="60" w:line="276" w:lineRule="auto"/>
            </w:pPr>
            <w:r w:rsidRPr="00886497">
              <w:t>What other questions should the Standing Review consult on? For example:</w:t>
            </w:r>
          </w:p>
          <w:p w:rsidR="00FC7C5E" w:rsidRPr="00886497" w:rsidRDefault="00FC7C5E" w:rsidP="00A2519B">
            <w:pPr>
              <w:pStyle w:val="ListParagraph"/>
              <w:numPr>
                <w:ilvl w:val="0"/>
                <w:numId w:val="15"/>
              </w:numPr>
              <w:spacing w:after="60" w:line="276" w:lineRule="auto"/>
            </w:pPr>
            <w:r w:rsidRPr="00886497">
              <w:t>What available and accessible indicators would be useful for measuring progress against Strategy outcomes?</w:t>
            </w:r>
          </w:p>
          <w:p w:rsidR="00FC7C5E" w:rsidRPr="00886497" w:rsidRDefault="00FC7C5E" w:rsidP="00A2519B">
            <w:pPr>
              <w:pStyle w:val="ListParagraph"/>
              <w:numPr>
                <w:ilvl w:val="0"/>
                <w:numId w:val="15"/>
              </w:numPr>
              <w:spacing w:after="60" w:line="276" w:lineRule="auto"/>
            </w:pPr>
            <w:r w:rsidRPr="00886497">
              <w:t>Where has the Strategy been effective/ had the greatest impact?</w:t>
            </w:r>
          </w:p>
          <w:p w:rsidR="00FC7C5E" w:rsidRPr="00886497" w:rsidRDefault="00FC7C5E" w:rsidP="00A2519B">
            <w:pPr>
              <w:pStyle w:val="ListParagraph"/>
              <w:numPr>
                <w:ilvl w:val="0"/>
                <w:numId w:val="15"/>
              </w:numPr>
              <w:spacing w:line="276" w:lineRule="auto"/>
            </w:pPr>
            <w:r w:rsidRPr="00886497">
              <w:t>Where has the Strategy been ineffective/ had less of an impact?</w:t>
            </w:r>
          </w:p>
          <w:p w:rsidR="00FC7C5E" w:rsidRPr="00886497" w:rsidRDefault="00FC7C5E" w:rsidP="00A2519B">
            <w:pPr>
              <w:pStyle w:val="ListParagraph"/>
              <w:numPr>
                <w:ilvl w:val="0"/>
                <w:numId w:val="15"/>
              </w:numPr>
              <w:spacing w:line="276" w:lineRule="auto"/>
            </w:pPr>
            <w:r w:rsidRPr="00886497">
              <w:t>To what extent has the Strategy been embedded in processes and policies?</w:t>
            </w:r>
          </w:p>
          <w:p w:rsidR="00FC7C5E" w:rsidRPr="00886497" w:rsidRDefault="00FC7C5E" w:rsidP="00A2519B">
            <w:pPr>
              <w:pStyle w:val="ListParagraph"/>
              <w:numPr>
                <w:ilvl w:val="0"/>
                <w:numId w:val="15"/>
              </w:numPr>
              <w:spacing w:line="276" w:lineRule="auto"/>
            </w:pPr>
            <w:r w:rsidRPr="00886497">
              <w:t>What progress has been made in implementing the Strategy in NSW?</w:t>
            </w:r>
          </w:p>
          <w:p w:rsidR="00FC7C5E" w:rsidRPr="00886497" w:rsidRDefault="00FC7C5E" w:rsidP="00A2519B">
            <w:pPr>
              <w:pStyle w:val="ListParagraph"/>
              <w:numPr>
                <w:ilvl w:val="0"/>
                <w:numId w:val="15"/>
              </w:numPr>
              <w:spacing w:line="276" w:lineRule="auto"/>
            </w:pPr>
            <w:r w:rsidRPr="00886497">
              <w:t>What are the key barriers and enablers to the implementation of the Strategy in NSW?</w:t>
            </w:r>
          </w:p>
          <w:p w:rsidR="00FC7C5E" w:rsidRPr="00886497" w:rsidRDefault="00FC7C5E" w:rsidP="00A2519B">
            <w:pPr>
              <w:pStyle w:val="ListParagraph"/>
              <w:numPr>
                <w:ilvl w:val="0"/>
                <w:numId w:val="15"/>
              </w:numPr>
              <w:spacing w:line="276" w:lineRule="auto"/>
            </w:pPr>
            <w:r w:rsidRPr="00886497">
              <w:t>How can gaps in the implementation of Strategy be minimised?</w:t>
            </w:r>
          </w:p>
        </w:tc>
      </w:tr>
      <w:tr w:rsidR="00FC7C5E" w:rsidRPr="00F57F02" w:rsidTr="009004B9">
        <w:tc>
          <w:tcPr>
            <w:tcW w:w="2830" w:type="dxa"/>
            <w:shd w:val="clear" w:color="auto" w:fill="002060"/>
          </w:tcPr>
          <w:p w:rsidR="00FC7C5E" w:rsidRDefault="00FC7C5E">
            <w:pPr>
              <w:spacing w:line="276" w:lineRule="auto"/>
              <w:rPr>
                <w:b/>
                <w:iCs/>
              </w:rPr>
            </w:pPr>
            <w:r>
              <w:rPr>
                <w:b/>
                <w:iCs/>
              </w:rPr>
              <w:t xml:space="preserve">Other comments </w:t>
            </w:r>
          </w:p>
        </w:tc>
        <w:tc>
          <w:tcPr>
            <w:tcW w:w="7088" w:type="dxa"/>
          </w:tcPr>
          <w:p w:rsidR="00FC7C5E" w:rsidRPr="00886497" w:rsidRDefault="00FC7C5E">
            <w:pPr>
              <w:spacing w:line="276" w:lineRule="auto"/>
            </w:pPr>
            <w:r w:rsidRPr="00886497">
              <w:t>Do you have any other views or questions?</w:t>
            </w:r>
          </w:p>
        </w:tc>
      </w:tr>
    </w:tbl>
    <w:p w:rsidR="00F57F02" w:rsidRDefault="00F57F02">
      <w:pPr>
        <w:spacing w:after="0" w:line="276" w:lineRule="auto"/>
        <w:rPr>
          <w:sz w:val="28"/>
          <w:szCs w:val="28"/>
        </w:rPr>
      </w:pPr>
    </w:p>
    <w:p w:rsidR="00F57F02" w:rsidRDefault="00F57F02">
      <w:pPr>
        <w:spacing w:after="0" w:line="276" w:lineRule="auto"/>
        <w:rPr>
          <w:sz w:val="28"/>
          <w:szCs w:val="28"/>
        </w:rPr>
      </w:pPr>
    </w:p>
    <w:p w:rsidR="00F57F02" w:rsidRDefault="00F57F02">
      <w:pPr>
        <w:spacing w:after="0" w:line="276" w:lineRule="auto"/>
        <w:rPr>
          <w:sz w:val="28"/>
          <w:szCs w:val="28"/>
        </w:rPr>
      </w:pPr>
    </w:p>
    <w:p w:rsidR="0056301D" w:rsidRDefault="0056301D">
      <w:pPr>
        <w:rPr>
          <w:sz w:val="28"/>
          <w:szCs w:val="28"/>
        </w:rPr>
      </w:pPr>
      <w:r>
        <w:rPr>
          <w:sz w:val="28"/>
          <w:szCs w:val="28"/>
        </w:rPr>
        <w:br w:type="page"/>
      </w:r>
    </w:p>
    <w:p w:rsidR="00F57F02" w:rsidRDefault="00F57F02">
      <w:pPr>
        <w:spacing w:after="0" w:line="276" w:lineRule="auto"/>
        <w:rPr>
          <w:sz w:val="28"/>
          <w:szCs w:val="28"/>
        </w:rPr>
      </w:pPr>
    </w:p>
    <w:p w:rsidR="00E21854" w:rsidRPr="00954D84" w:rsidRDefault="00E21854" w:rsidP="00954D84">
      <w:pPr>
        <w:pStyle w:val="Heading1"/>
        <w:rPr>
          <w:rFonts w:ascii="Arial Black" w:hAnsi="Arial Black" w:cs="Arial"/>
          <w:b/>
          <w:bCs/>
          <w:sz w:val="40"/>
          <w:szCs w:val="40"/>
        </w:rPr>
      </w:pPr>
      <w:bookmarkStart w:id="5" w:name="_Toc50989016"/>
      <w:r w:rsidRPr="00954D84">
        <w:rPr>
          <w:rFonts w:ascii="Arial Black" w:hAnsi="Arial Black" w:cs="Arial"/>
          <w:b/>
          <w:bCs/>
          <w:sz w:val="40"/>
          <w:szCs w:val="40"/>
        </w:rPr>
        <w:t>A</w:t>
      </w:r>
      <w:r w:rsidR="00D84856" w:rsidRPr="00954D84">
        <w:rPr>
          <w:rFonts w:ascii="Arial Black" w:hAnsi="Arial Black" w:cs="Arial"/>
          <w:b/>
          <w:bCs/>
          <w:sz w:val="40"/>
          <w:szCs w:val="40"/>
        </w:rPr>
        <w:t>PPENDIX</w:t>
      </w:r>
      <w:r w:rsidRPr="00954D84">
        <w:rPr>
          <w:rFonts w:ascii="Arial Black" w:hAnsi="Arial Black" w:cs="Arial"/>
          <w:b/>
          <w:bCs/>
          <w:sz w:val="40"/>
          <w:szCs w:val="40"/>
        </w:rPr>
        <w:t xml:space="preserve"> 1</w:t>
      </w:r>
      <w:bookmarkEnd w:id="5"/>
    </w:p>
    <w:p w:rsidR="009A5DF3" w:rsidRPr="00954D84" w:rsidRDefault="009A5DF3" w:rsidP="00954D84">
      <w:pPr>
        <w:pStyle w:val="Heading2"/>
        <w:spacing w:before="0" w:after="120"/>
        <w:rPr>
          <w:rFonts w:ascii="Arial" w:hAnsi="Arial" w:cs="Arial"/>
          <w:sz w:val="32"/>
          <w:szCs w:val="32"/>
        </w:rPr>
      </w:pPr>
      <w:bookmarkStart w:id="6" w:name="_Toc50989017"/>
      <w:bookmarkStart w:id="7" w:name="_Toc50413206"/>
      <w:r w:rsidRPr="00954D84">
        <w:rPr>
          <w:rFonts w:ascii="Arial" w:hAnsi="Arial" w:cs="Arial"/>
          <w:sz w:val="32"/>
          <w:szCs w:val="32"/>
        </w:rPr>
        <w:t>National Disability Strategy governance arrangements</w:t>
      </w:r>
      <w:bookmarkEnd w:id="6"/>
      <w:r w:rsidRPr="00954D84">
        <w:rPr>
          <w:rFonts w:ascii="Arial" w:hAnsi="Arial" w:cs="Arial"/>
          <w:sz w:val="32"/>
          <w:szCs w:val="32"/>
        </w:rPr>
        <w:t xml:space="preserve"> </w:t>
      </w:r>
    </w:p>
    <w:p w:rsidR="009A5DF3" w:rsidRDefault="009A5DF3" w:rsidP="009A5DF3">
      <w:pPr>
        <w:spacing w:after="0" w:line="276" w:lineRule="auto"/>
        <w:rPr>
          <w:sz w:val="24"/>
          <w:szCs w:val="24"/>
        </w:rPr>
      </w:pPr>
      <w:r w:rsidRPr="00C903B8">
        <w:rPr>
          <w:sz w:val="24"/>
          <w:szCs w:val="24"/>
        </w:rPr>
        <w:t>At the time of writing</w:t>
      </w:r>
      <w:r>
        <w:rPr>
          <w:sz w:val="24"/>
          <w:szCs w:val="24"/>
        </w:rPr>
        <w:t>,</w:t>
      </w:r>
      <w:r w:rsidRPr="00C903B8">
        <w:rPr>
          <w:sz w:val="24"/>
          <w:szCs w:val="24"/>
        </w:rPr>
        <w:t xml:space="preserve"> governance of the </w:t>
      </w:r>
      <w:r>
        <w:rPr>
          <w:sz w:val="24"/>
          <w:szCs w:val="24"/>
        </w:rPr>
        <w:t>Strategy</w:t>
      </w:r>
      <w:r w:rsidRPr="00C903B8">
        <w:rPr>
          <w:sz w:val="24"/>
          <w:szCs w:val="24"/>
        </w:rPr>
        <w:t xml:space="preserve">, and disability policy more generally, is under review at both Commonwealth and </w:t>
      </w:r>
      <w:r>
        <w:rPr>
          <w:sz w:val="24"/>
          <w:szCs w:val="24"/>
        </w:rPr>
        <w:t>S</w:t>
      </w:r>
      <w:r w:rsidRPr="00C903B8">
        <w:rPr>
          <w:sz w:val="24"/>
          <w:szCs w:val="24"/>
        </w:rPr>
        <w:t>tate level</w:t>
      </w:r>
      <w:r>
        <w:rPr>
          <w:sz w:val="24"/>
          <w:szCs w:val="24"/>
        </w:rPr>
        <w:t>s</w:t>
      </w:r>
      <w:r w:rsidRPr="00C903B8">
        <w:rPr>
          <w:sz w:val="24"/>
          <w:szCs w:val="24"/>
        </w:rPr>
        <w:t xml:space="preserve">. </w:t>
      </w:r>
    </w:p>
    <w:p w:rsidR="009A5DF3" w:rsidRPr="00C903B8" w:rsidRDefault="009A5DF3" w:rsidP="009A5DF3">
      <w:pPr>
        <w:spacing w:after="0" w:line="276" w:lineRule="auto"/>
        <w:rPr>
          <w:sz w:val="24"/>
          <w:szCs w:val="24"/>
        </w:rPr>
      </w:pPr>
    </w:p>
    <w:p w:rsidR="009A5DF3" w:rsidRPr="00C903B8" w:rsidRDefault="009A5DF3" w:rsidP="009A5DF3">
      <w:pPr>
        <w:spacing w:after="240" w:line="276" w:lineRule="auto"/>
        <w:rPr>
          <w:sz w:val="24"/>
          <w:szCs w:val="24"/>
        </w:rPr>
      </w:pPr>
      <w:r w:rsidRPr="00C903B8">
        <w:rPr>
          <w:sz w:val="24"/>
          <w:szCs w:val="24"/>
        </w:rPr>
        <w:t xml:space="preserve">The table below outlines governance at </w:t>
      </w:r>
      <w:r>
        <w:rPr>
          <w:sz w:val="24"/>
          <w:szCs w:val="24"/>
        </w:rPr>
        <w:t>the</w:t>
      </w:r>
      <w:r w:rsidRPr="00C903B8">
        <w:rPr>
          <w:sz w:val="24"/>
          <w:szCs w:val="24"/>
        </w:rPr>
        <w:t xml:space="preserve"> Commonwealth level </w:t>
      </w:r>
      <w:r w:rsidRPr="00886497">
        <w:rPr>
          <w:sz w:val="24"/>
          <w:szCs w:val="24"/>
        </w:rPr>
        <w:t>prior to the above review</w:t>
      </w:r>
      <w:r w:rsidRPr="00C903B8">
        <w:rPr>
          <w:sz w:val="24"/>
          <w:szCs w:val="24"/>
        </w:rPr>
        <w:t>. The Disability Reform Council has been dissolved</w:t>
      </w:r>
      <w:r>
        <w:rPr>
          <w:sz w:val="24"/>
          <w:szCs w:val="24"/>
        </w:rPr>
        <w:t>. U</w:t>
      </w:r>
      <w:r w:rsidRPr="00C903B8">
        <w:rPr>
          <w:sz w:val="24"/>
          <w:szCs w:val="24"/>
        </w:rPr>
        <w:t>ntil new arrangements are confirmed</w:t>
      </w:r>
      <w:r>
        <w:rPr>
          <w:sz w:val="24"/>
          <w:szCs w:val="24"/>
        </w:rPr>
        <w:t>, State/Territory</w:t>
      </w:r>
      <w:r w:rsidRPr="00C903B8">
        <w:rPr>
          <w:sz w:val="24"/>
          <w:szCs w:val="24"/>
        </w:rPr>
        <w:t xml:space="preserve"> and Commonwealth </w:t>
      </w:r>
      <w:r>
        <w:rPr>
          <w:sz w:val="24"/>
          <w:szCs w:val="24"/>
        </w:rPr>
        <w:t xml:space="preserve">Disability </w:t>
      </w:r>
      <w:r w:rsidRPr="00C903B8">
        <w:rPr>
          <w:sz w:val="24"/>
          <w:szCs w:val="24"/>
        </w:rPr>
        <w:t>Ministers continue to meet monthly</w:t>
      </w:r>
      <w:r>
        <w:rPr>
          <w:sz w:val="24"/>
          <w:szCs w:val="24"/>
        </w:rPr>
        <w:t>.</w:t>
      </w:r>
    </w:p>
    <w:tbl>
      <w:tblPr>
        <w:tblStyle w:val="GridTable5Dark-Accent5"/>
        <w:tblW w:w="0" w:type="auto"/>
        <w:tblLook w:val="04A0" w:firstRow="1" w:lastRow="0" w:firstColumn="1" w:lastColumn="0" w:noHBand="0" w:noVBand="1"/>
        <w:tblCaption w:val="Table of Commonwealth governance of the National Disability Strategy"/>
        <w:tblDescription w:val="Outlines each of the governance groups around the strategy outlining their role, terms of refernce and membership"/>
      </w:tblPr>
      <w:tblGrid>
        <w:gridCol w:w="3398"/>
        <w:gridCol w:w="3398"/>
        <w:gridCol w:w="3398"/>
      </w:tblGrid>
      <w:tr w:rsidR="009A5DF3" w:rsidRPr="00C903B8" w:rsidTr="00421B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8" w:type="dxa"/>
            <w:shd w:val="clear" w:color="auto" w:fill="002060"/>
          </w:tcPr>
          <w:p w:rsidR="009A5DF3" w:rsidRPr="00F60B4C" w:rsidRDefault="009A5DF3" w:rsidP="0045288F">
            <w:pPr>
              <w:pStyle w:val="ListParagraph"/>
              <w:spacing w:line="276" w:lineRule="auto"/>
              <w:ind w:left="0"/>
              <w:rPr>
                <w:rFonts w:cstheme="minorHAnsi"/>
                <w:caps/>
                <w:sz w:val="20"/>
                <w:szCs w:val="20"/>
              </w:rPr>
            </w:pPr>
            <w:r w:rsidRPr="00F60B4C">
              <w:rPr>
                <w:rFonts w:cstheme="minorHAnsi"/>
                <w:caps/>
                <w:sz w:val="20"/>
                <w:szCs w:val="20"/>
              </w:rPr>
              <w:t xml:space="preserve">Governance group </w:t>
            </w:r>
          </w:p>
          <w:p w:rsidR="009A5DF3" w:rsidRPr="00F60B4C" w:rsidRDefault="009A5DF3" w:rsidP="0045288F">
            <w:pPr>
              <w:pStyle w:val="ListParagraph"/>
              <w:spacing w:line="276" w:lineRule="auto"/>
              <w:ind w:left="0"/>
              <w:rPr>
                <w:rFonts w:cstheme="minorHAnsi"/>
                <w:caps/>
                <w:sz w:val="20"/>
                <w:szCs w:val="20"/>
              </w:rPr>
            </w:pPr>
          </w:p>
        </w:tc>
        <w:tc>
          <w:tcPr>
            <w:tcW w:w="3398" w:type="dxa"/>
            <w:tcBorders>
              <w:bottom w:val="single" w:sz="4" w:space="0" w:color="auto"/>
            </w:tcBorders>
            <w:shd w:val="clear" w:color="auto" w:fill="002060"/>
          </w:tcPr>
          <w:p w:rsidR="009A5DF3" w:rsidRPr="00F60B4C" w:rsidRDefault="009A5DF3" w:rsidP="0045288F">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cstheme="minorHAnsi"/>
                <w:caps/>
                <w:sz w:val="20"/>
                <w:szCs w:val="20"/>
              </w:rPr>
            </w:pPr>
            <w:r w:rsidRPr="00F60B4C">
              <w:rPr>
                <w:rFonts w:cstheme="minorHAnsi"/>
                <w:caps/>
                <w:sz w:val="20"/>
                <w:szCs w:val="20"/>
              </w:rPr>
              <w:t>Role / terms of reference</w:t>
            </w:r>
          </w:p>
        </w:tc>
        <w:tc>
          <w:tcPr>
            <w:tcW w:w="3398" w:type="dxa"/>
            <w:tcBorders>
              <w:bottom w:val="single" w:sz="4" w:space="0" w:color="auto"/>
            </w:tcBorders>
            <w:shd w:val="clear" w:color="auto" w:fill="002060"/>
          </w:tcPr>
          <w:p w:rsidR="009A5DF3" w:rsidRPr="00F60B4C" w:rsidRDefault="009A5DF3" w:rsidP="0045288F">
            <w:pPr>
              <w:pStyle w:val="ListParagraph"/>
              <w:spacing w:line="276" w:lineRule="auto"/>
              <w:ind w:left="0"/>
              <w:cnfStyle w:val="100000000000" w:firstRow="1" w:lastRow="0" w:firstColumn="0" w:lastColumn="0" w:oddVBand="0" w:evenVBand="0" w:oddHBand="0" w:evenHBand="0" w:firstRowFirstColumn="0" w:firstRowLastColumn="0" w:lastRowFirstColumn="0" w:lastRowLastColumn="0"/>
              <w:rPr>
                <w:rFonts w:cstheme="minorHAnsi"/>
                <w:caps/>
                <w:sz w:val="20"/>
                <w:szCs w:val="20"/>
              </w:rPr>
            </w:pPr>
            <w:r w:rsidRPr="00F60B4C">
              <w:rPr>
                <w:rFonts w:cstheme="minorHAnsi"/>
                <w:caps/>
                <w:sz w:val="20"/>
                <w:szCs w:val="20"/>
              </w:rPr>
              <w:t xml:space="preserve">Membership </w:t>
            </w:r>
          </w:p>
        </w:tc>
      </w:tr>
      <w:tr w:rsidR="009A5DF3" w:rsidRPr="00C903B8" w:rsidTr="00421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tcBorders>
              <w:right w:val="single" w:sz="4" w:space="0" w:color="auto"/>
            </w:tcBorders>
            <w:shd w:val="clear" w:color="auto" w:fill="002060"/>
          </w:tcPr>
          <w:p w:rsidR="009A5DF3" w:rsidRPr="00F60B4C" w:rsidRDefault="009A5DF3" w:rsidP="0045288F">
            <w:pPr>
              <w:pStyle w:val="ListParagraph"/>
              <w:spacing w:line="276" w:lineRule="auto"/>
              <w:ind w:left="0"/>
              <w:rPr>
                <w:rFonts w:cstheme="minorHAnsi"/>
                <w:b w:val="0"/>
                <w:sz w:val="20"/>
                <w:szCs w:val="20"/>
              </w:rPr>
            </w:pPr>
            <w:r w:rsidRPr="00F60B4C">
              <w:rPr>
                <w:rFonts w:cstheme="minorHAnsi"/>
                <w:sz w:val="20"/>
                <w:szCs w:val="20"/>
              </w:rPr>
              <w:t>Disability Reform Council (DRC)</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The Disability Reform Council (DRC) </w:t>
            </w:r>
            <w:r>
              <w:rPr>
                <w:rFonts w:cstheme="minorHAnsi"/>
                <w:sz w:val="20"/>
                <w:szCs w:val="20"/>
              </w:rPr>
              <w:t>oversees</w:t>
            </w:r>
            <w:r w:rsidRPr="00F60B4C">
              <w:rPr>
                <w:rFonts w:cstheme="minorHAnsi"/>
                <w:sz w:val="20"/>
                <w:szCs w:val="20"/>
              </w:rPr>
              <w:t xml:space="preserve"> the: </w:t>
            </w:r>
          </w:p>
          <w:p w:rsidR="009A5DF3" w:rsidRPr="00F60B4C" w:rsidRDefault="009A5DF3" w:rsidP="00A2519B">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Strategy</w:t>
            </w:r>
          </w:p>
          <w:p w:rsidR="009A5DF3" w:rsidRPr="00F60B4C" w:rsidRDefault="009A5DF3" w:rsidP="00A2519B">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NDA </w:t>
            </w:r>
          </w:p>
          <w:p w:rsidR="009A5DF3" w:rsidRPr="009256E8" w:rsidRDefault="009A5DF3" w:rsidP="00A2519B">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NDIS</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Australian Governments, which includes </w:t>
            </w:r>
            <w:r>
              <w:rPr>
                <w:rFonts w:cstheme="minorHAnsi"/>
                <w:sz w:val="20"/>
                <w:szCs w:val="20"/>
              </w:rPr>
              <w:t>D</w:t>
            </w:r>
            <w:r w:rsidRPr="00F60B4C">
              <w:rPr>
                <w:rFonts w:cstheme="minorHAnsi"/>
                <w:sz w:val="20"/>
                <w:szCs w:val="20"/>
              </w:rPr>
              <w:t xml:space="preserve">isability </w:t>
            </w:r>
            <w:r>
              <w:rPr>
                <w:rFonts w:cstheme="minorHAnsi"/>
                <w:sz w:val="20"/>
                <w:szCs w:val="20"/>
              </w:rPr>
              <w:t>M</w:t>
            </w:r>
            <w:r w:rsidRPr="00F60B4C">
              <w:rPr>
                <w:rFonts w:cstheme="minorHAnsi"/>
                <w:sz w:val="20"/>
                <w:szCs w:val="20"/>
              </w:rPr>
              <w:t xml:space="preserve">inisters from the Australian, </w:t>
            </w:r>
            <w:r>
              <w:rPr>
                <w:rFonts w:cstheme="minorHAnsi"/>
                <w:sz w:val="20"/>
                <w:szCs w:val="20"/>
              </w:rPr>
              <w:t>S</w:t>
            </w:r>
            <w:r w:rsidRPr="00F60B4C">
              <w:rPr>
                <w:rFonts w:cstheme="minorHAnsi"/>
                <w:sz w:val="20"/>
                <w:szCs w:val="20"/>
              </w:rPr>
              <w:t xml:space="preserve">tate and </w:t>
            </w:r>
            <w:r>
              <w:rPr>
                <w:rFonts w:cstheme="minorHAnsi"/>
                <w:sz w:val="20"/>
                <w:szCs w:val="20"/>
              </w:rPr>
              <w:t>T</w:t>
            </w:r>
            <w:r w:rsidRPr="00F60B4C">
              <w:rPr>
                <w:rFonts w:cstheme="minorHAnsi"/>
                <w:sz w:val="20"/>
                <w:szCs w:val="20"/>
              </w:rPr>
              <w:t xml:space="preserve">erritory </w:t>
            </w:r>
            <w:r>
              <w:rPr>
                <w:rFonts w:cstheme="minorHAnsi"/>
                <w:sz w:val="20"/>
                <w:szCs w:val="20"/>
              </w:rPr>
              <w:t>G</w:t>
            </w:r>
            <w:r w:rsidRPr="00F60B4C">
              <w:rPr>
                <w:rFonts w:cstheme="minorHAnsi"/>
                <w:sz w:val="20"/>
                <w:szCs w:val="20"/>
              </w:rPr>
              <w:t xml:space="preserve">overnments. </w:t>
            </w:r>
          </w:p>
          <w:p w:rsidR="009A5DF3" w:rsidRPr="00F60B4C" w:rsidRDefault="009A5DF3" w:rsidP="0045288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A5DF3" w:rsidRPr="009256E8" w:rsidRDefault="009A5DF3" w:rsidP="0045288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val="en-US"/>
              </w:rPr>
            </w:pPr>
            <w:r>
              <w:rPr>
                <w:rFonts w:cstheme="minorHAnsi"/>
                <w:sz w:val="20"/>
                <w:szCs w:val="20"/>
              </w:rPr>
              <w:t>The D</w:t>
            </w:r>
            <w:r w:rsidRPr="00F60B4C">
              <w:rPr>
                <w:rFonts w:cstheme="minorHAnsi"/>
                <w:sz w:val="20"/>
                <w:szCs w:val="20"/>
              </w:rPr>
              <w:t xml:space="preserve">epartment of Social Services (DSS) </w:t>
            </w:r>
            <w:r w:rsidRPr="00F60B4C">
              <w:rPr>
                <w:sz w:val="20"/>
                <w:szCs w:val="20"/>
                <w:lang w:val="en-US"/>
              </w:rPr>
              <w:t>provides secretariat support to th</w:t>
            </w:r>
            <w:r>
              <w:rPr>
                <w:sz w:val="20"/>
                <w:szCs w:val="20"/>
                <w:lang w:val="en-US"/>
              </w:rPr>
              <w:t>e DRC</w:t>
            </w:r>
            <w:r w:rsidRPr="00F60B4C">
              <w:rPr>
                <w:sz w:val="20"/>
                <w:szCs w:val="20"/>
                <w:lang w:val="en-US"/>
              </w:rPr>
              <w:t xml:space="preserve"> </w:t>
            </w:r>
            <w:r>
              <w:rPr>
                <w:sz w:val="20"/>
                <w:szCs w:val="20"/>
                <w:lang w:val="en-US"/>
              </w:rPr>
              <w:t>in relation to the Strategy.</w:t>
            </w:r>
          </w:p>
        </w:tc>
      </w:tr>
      <w:tr w:rsidR="009A5DF3" w:rsidRPr="00C903B8" w:rsidTr="00421BF1">
        <w:tc>
          <w:tcPr>
            <w:cnfStyle w:val="001000000000" w:firstRow="0" w:lastRow="0" w:firstColumn="1" w:lastColumn="0" w:oddVBand="0" w:evenVBand="0" w:oddHBand="0" w:evenHBand="0" w:firstRowFirstColumn="0" w:firstRowLastColumn="0" w:lastRowFirstColumn="0" w:lastRowLastColumn="0"/>
            <w:tcW w:w="3398" w:type="dxa"/>
            <w:tcBorders>
              <w:right w:val="single" w:sz="4" w:space="0" w:color="auto"/>
            </w:tcBorders>
            <w:shd w:val="clear" w:color="auto" w:fill="002060"/>
          </w:tcPr>
          <w:p w:rsidR="009A5DF3" w:rsidRPr="00F60B4C" w:rsidRDefault="009A5DF3" w:rsidP="0045288F">
            <w:pPr>
              <w:pStyle w:val="ListParagraph"/>
              <w:spacing w:line="276" w:lineRule="auto"/>
              <w:ind w:left="0"/>
              <w:rPr>
                <w:rFonts w:cstheme="minorHAnsi"/>
                <w:b w:val="0"/>
                <w:sz w:val="20"/>
                <w:szCs w:val="20"/>
              </w:rPr>
            </w:pPr>
            <w:r w:rsidRPr="00F60B4C">
              <w:rPr>
                <w:rFonts w:cstheme="minorHAnsi"/>
                <w:sz w:val="20"/>
                <w:szCs w:val="20"/>
              </w:rPr>
              <w:t>DRC Senior Officials Working Group (SOWG)</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The SOWG supports the decision-making of the DRC. DSS leads and provides secretariat support</w:t>
            </w:r>
            <w:r>
              <w:rPr>
                <w:rFonts w:cstheme="minorHAnsi"/>
                <w:sz w:val="20"/>
                <w:szCs w:val="20"/>
              </w:rPr>
              <w: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en-US"/>
              </w:rPr>
            </w:pPr>
            <w:r w:rsidRPr="00F60B4C">
              <w:rPr>
                <w:sz w:val="20"/>
                <w:szCs w:val="20"/>
                <w:lang w:val="en-US"/>
              </w:rPr>
              <w:t xml:space="preserve">DSS, </w:t>
            </w:r>
            <w:r>
              <w:rPr>
                <w:sz w:val="20"/>
                <w:szCs w:val="20"/>
                <w:lang w:val="en-US"/>
              </w:rPr>
              <w:t xml:space="preserve">NSW </w:t>
            </w:r>
            <w:r w:rsidRPr="00F60B4C">
              <w:rPr>
                <w:sz w:val="20"/>
                <w:szCs w:val="20"/>
                <w:lang w:val="en-US"/>
              </w:rPr>
              <w:t>D</w:t>
            </w:r>
            <w:r>
              <w:rPr>
                <w:sz w:val="20"/>
                <w:szCs w:val="20"/>
                <w:lang w:val="en-US"/>
              </w:rPr>
              <w:t xml:space="preserve">epartment of </w:t>
            </w:r>
            <w:r w:rsidRPr="00F60B4C">
              <w:rPr>
                <w:sz w:val="20"/>
                <w:szCs w:val="20"/>
                <w:lang w:val="en-US"/>
              </w:rPr>
              <w:t>P</w:t>
            </w:r>
            <w:r>
              <w:rPr>
                <w:sz w:val="20"/>
                <w:szCs w:val="20"/>
                <w:lang w:val="en-US"/>
              </w:rPr>
              <w:t xml:space="preserve">remier and </w:t>
            </w:r>
            <w:r w:rsidRPr="00F60B4C">
              <w:rPr>
                <w:sz w:val="20"/>
                <w:szCs w:val="20"/>
                <w:lang w:val="en-US"/>
              </w:rPr>
              <w:t>C</w:t>
            </w:r>
            <w:r>
              <w:rPr>
                <w:sz w:val="20"/>
                <w:szCs w:val="20"/>
                <w:lang w:val="en-US"/>
              </w:rPr>
              <w:t>abinet (DPC)</w:t>
            </w:r>
            <w:r w:rsidRPr="00F60B4C">
              <w:rPr>
                <w:sz w:val="20"/>
                <w:szCs w:val="20"/>
                <w:lang w:val="en-US"/>
              </w:rPr>
              <w:t xml:space="preserve">, </w:t>
            </w:r>
            <w:r>
              <w:rPr>
                <w:sz w:val="20"/>
                <w:szCs w:val="20"/>
                <w:lang w:val="en-US"/>
              </w:rPr>
              <w:t xml:space="preserve">NSW </w:t>
            </w:r>
            <w:r w:rsidRPr="00F60B4C">
              <w:rPr>
                <w:sz w:val="20"/>
                <w:szCs w:val="20"/>
                <w:lang w:val="en-US"/>
              </w:rPr>
              <w:t xml:space="preserve">Treasury and </w:t>
            </w:r>
            <w:r>
              <w:rPr>
                <w:sz w:val="20"/>
                <w:szCs w:val="20"/>
                <w:lang w:val="en-US"/>
              </w:rPr>
              <w:t xml:space="preserve">NSW </w:t>
            </w:r>
            <w:r w:rsidRPr="00F60B4C">
              <w:rPr>
                <w:sz w:val="20"/>
                <w:szCs w:val="20"/>
                <w:lang w:val="en-US"/>
              </w:rPr>
              <w:t>D</w:t>
            </w:r>
            <w:r>
              <w:rPr>
                <w:sz w:val="20"/>
                <w:szCs w:val="20"/>
                <w:lang w:val="en-US"/>
              </w:rPr>
              <w:t xml:space="preserve">epartment of </w:t>
            </w:r>
            <w:r w:rsidRPr="00F60B4C">
              <w:rPr>
                <w:sz w:val="20"/>
                <w:szCs w:val="20"/>
                <w:lang w:val="en-US"/>
              </w:rPr>
              <w:t>C</w:t>
            </w:r>
            <w:r>
              <w:rPr>
                <w:sz w:val="20"/>
                <w:szCs w:val="20"/>
                <w:lang w:val="en-US"/>
              </w:rPr>
              <w:t xml:space="preserve">ommunities and </w:t>
            </w:r>
            <w:r w:rsidRPr="00F60B4C">
              <w:rPr>
                <w:sz w:val="20"/>
                <w:szCs w:val="20"/>
                <w:lang w:val="en-US"/>
              </w:rPr>
              <w:t>J</w:t>
            </w:r>
            <w:r>
              <w:rPr>
                <w:sz w:val="20"/>
                <w:szCs w:val="20"/>
                <w:lang w:val="en-US"/>
              </w:rPr>
              <w:t>ustice</w:t>
            </w:r>
            <w:r w:rsidRPr="00F60B4C">
              <w:rPr>
                <w:sz w:val="20"/>
                <w:szCs w:val="20"/>
                <w:lang w:val="en-US"/>
              </w:rPr>
              <w:t xml:space="preserve"> </w:t>
            </w:r>
            <w:r>
              <w:rPr>
                <w:sz w:val="20"/>
                <w:szCs w:val="20"/>
                <w:lang w:val="en-US"/>
              </w:rPr>
              <w:t>(DCJ).</w:t>
            </w:r>
          </w:p>
          <w:p w:rsidR="009A5DF3" w:rsidRPr="00F60B4C" w:rsidRDefault="009A5DF3" w:rsidP="004528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A5DF3" w:rsidRPr="00C903B8" w:rsidTr="00421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tcBorders>
              <w:right w:val="single" w:sz="4" w:space="0" w:color="auto"/>
            </w:tcBorders>
            <w:shd w:val="clear" w:color="auto" w:fill="002060"/>
          </w:tcPr>
          <w:p w:rsidR="009A5DF3" w:rsidRPr="00F60B4C" w:rsidRDefault="009A5DF3" w:rsidP="0045288F">
            <w:pPr>
              <w:pStyle w:val="ListParagraph"/>
              <w:spacing w:line="276" w:lineRule="auto"/>
              <w:ind w:left="0"/>
              <w:rPr>
                <w:rFonts w:cstheme="minorHAnsi"/>
                <w:b w:val="0"/>
                <w:sz w:val="20"/>
                <w:szCs w:val="20"/>
              </w:rPr>
            </w:pPr>
            <w:r w:rsidRPr="00F60B4C">
              <w:rPr>
                <w:sz w:val="20"/>
                <w:szCs w:val="20"/>
              </w:rPr>
              <w:t>NDS Reform Steering Group</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60B4C">
              <w:rPr>
                <w:sz w:val="20"/>
                <w:szCs w:val="20"/>
              </w:rPr>
              <w:t xml:space="preserve">Established by DSS to provide advice on the development of the new </w:t>
            </w:r>
            <w:r>
              <w:rPr>
                <w:sz w:val="20"/>
                <w:szCs w:val="20"/>
              </w:rPr>
              <w:t>S</w:t>
            </w:r>
            <w:r w:rsidRPr="00F60B4C">
              <w:rPr>
                <w:sz w:val="20"/>
                <w:szCs w:val="20"/>
              </w:rPr>
              <w:t xml:space="preserve">trategy. </w:t>
            </w:r>
          </w:p>
          <w:p w:rsidR="009A5DF3" w:rsidRDefault="009A5DF3" w:rsidP="0045288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p w:rsidR="009A5DF3" w:rsidRPr="00F60B4C" w:rsidRDefault="009A5DF3" w:rsidP="0045288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sz w:val="20"/>
                <w:szCs w:val="20"/>
              </w:rPr>
              <w:t>This group does not report to the DRC</w:t>
            </w:r>
            <w:r>
              <w:rPr>
                <w:sz w:val="20"/>
                <w:szCs w:val="20"/>
              </w:rPr>
              <w:t>.</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Arial"/>
                <w:sz w:val="20"/>
                <w:szCs w:val="20"/>
                <w:lang w:val="en"/>
              </w:rPr>
              <w:t xml:space="preserve">Includes representatives from Commonwealth, </w:t>
            </w:r>
            <w:r>
              <w:rPr>
                <w:rFonts w:cs="Arial"/>
                <w:sz w:val="20"/>
                <w:szCs w:val="20"/>
                <w:lang w:val="en"/>
              </w:rPr>
              <w:t>S</w:t>
            </w:r>
            <w:r w:rsidRPr="00F60B4C">
              <w:rPr>
                <w:rFonts w:cs="Arial"/>
                <w:sz w:val="20"/>
                <w:szCs w:val="20"/>
                <w:lang w:val="en"/>
              </w:rPr>
              <w:t xml:space="preserve">tate and </w:t>
            </w:r>
            <w:r>
              <w:rPr>
                <w:rFonts w:cs="Arial"/>
                <w:sz w:val="20"/>
                <w:szCs w:val="20"/>
                <w:lang w:val="en"/>
              </w:rPr>
              <w:t>T</w:t>
            </w:r>
            <w:r w:rsidRPr="00F60B4C">
              <w:rPr>
                <w:rFonts w:cs="Arial"/>
                <w:sz w:val="20"/>
                <w:szCs w:val="20"/>
                <w:lang w:val="en"/>
              </w:rPr>
              <w:t xml:space="preserve">erritory </w:t>
            </w:r>
            <w:r>
              <w:rPr>
                <w:rFonts w:cs="Arial"/>
                <w:sz w:val="20"/>
                <w:szCs w:val="20"/>
                <w:lang w:val="en"/>
              </w:rPr>
              <w:t>G</w:t>
            </w:r>
            <w:r w:rsidRPr="00F60B4C">
              <w:rPr>
                <w:rFonts w:cs="Arial"/>
                <w:sz w:val="20"/>
                <w:szCs w:val="20"/>
                <w:lang w:val="en"/>
              </w:rPr>
              <w:t>overnments and key disability sector stakeholders.</w:t>
            </w:r>
            <w:r w:rsidRPr="00F60B4C">
              <w:rPr>
                <w:sz w:val="20"/>
                <w:szCs w:val="20"/>
              </w:rPr>
              <w:t xml:space="preserve"> NSW is represented by </w:t>
            </w:r>
            <w:r w:rsidRPr="00F60B4C">
              <w:rPr>
                <w:rFonts w:cs="Arial"/>
                <w:sz w:val="20"/>
                <w:szCs w:val="20"/>
                <w:lang w:val="en" w:eastAsia="en-AU"/>
              </w:rPr>
              <w:t>DCJ</w:t>
            </w:r>
            <w:r>
              <w:rPr>
                <w:rFonts w:cs="Arial"/>
                <w:sz w:val="20"/>
                <w:szCs w:val="20"/>
                <w:lang w:val="en" w:eastAsia="en-AU"/>
              </w:rPr>
              <w:t>.</w:t>
            </w:r>
          </w:p>
        </w:tc>
      </w:tr>
      <w:tr w:rsidR="009A5DF3" w:rsidRPr="00C903B8" w:rsidTr="00421BF1">
        <w:tc>
          <w:tcPr>
            <w:cnfStyle w:val="001000000000" w:firstRow="0" w:lastRow="0" w:firstColumn="1" w:lastColumn="0" w:oddVBand="0" w:evenVBand="0" w:oddHBand="0" w:evenHBand="0" w:firstRowFirstColumn="0" w:firstRowLastColumn="0" w:lastRowFirstColumn="0" w:lastRowLastColumn="0"/>
            <w:tcW w:w="3398" w:type="dxa"/>
            <w:tcBorders>
              <w:right w:val="single" w:sz="4" w:space="0" w:color="auto"/>
            </w:tcBorders>
            <w:shd w:val="clear" w:color="auto" w:fill="002060"/>
          </w:tcPr>
          <w:p w:rsidR="009A5DF3" w:rsidRPr="00F60B4C" w:rsidRDefault="009A5DF3" w:rsidP="0045288F">
            <w:pPr>
              <w:pStyle w:val="ListParagraph"/>
              <w:spacing w:line="276" w:lineRule="auto"/>
              <w:ind w:left="0"/>
              <w:rPr>
                <w:b w:val="0"/>
                <w:sz w:val="20"/>
                <w:szCs w:val="20"/>
              </w:rPr>
            </w:pPr>
            <w:r w:rsidRPr="00F60B4C">
              <w:rPr>
                <w:rFonts w:cstheme="minorHAnsi"/>
                <w:sz w:val="20"/>
                <w:szCs w:val="20"/>
              </w:rPr>
              <w:t xml:space="preserve">Research and Data Working Group (RDWG) </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835FC0" w:rsidRDefault="009A5DF3" w:rsidP="0045288F">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RDWG:</w:t>
            </w:r>
          </w:p>
          <w:p w:rsidR="009A5DF3" w:rsidRPr="00F60B4C" w:rsidRDefault="009A5DF3" w:rsidP="00A2519B">
            <w:pPr>
              <w:pStyle w:val="ListParagraph"/>
              <w:numPr>
                <w:ilvl w:val="0"/>
                <w:numId w:val="10"/>
              </w:num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is a sub-committee of the SOWG </w:t>
            </w:r>
          </w:p>
          <w:p w:rsidR="009A5DF3" w:rsidRPr="00F60B4C" w:rsidRDefault="009A5DF3" w:rsidP="00A2519B">
            <w:pPr>
              <w:pStyle w:val="ListParagraph"/>
              <w:numPr>
                <w:ilvl w:val="0"/>
                <w:numId w:val="10"/>
              </w:num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is responsible for setting the National Disability Research and Development Agenda</w:t>
            </w:r>
          </w:p>
          <w:p w:rsidR="009A5DF3" w:rsidRPr="00F60B4C" w:rsidRDefault="009A5DF3" w:rsidP="00A2519B">
            <w:pPr>
              <w:pStyle w:val="ListParagraph"/>
              <w:numPr>
                <w:ilvl w:val="0"/>
                <w:numId w:val="10"/>
              </w:numPr>
              <w:spacing w:line="276" w:lineRule="auto"/>
              <w:ind w:left="360"/>
              <w:cnfStyle w:val="000000000000" w:firstRow="0" w:lastRow="0" w:firstColumn="0" w:lastColumn="0" w:oddVBand="0" w:evenVBand="0" w:oddHBand="0" w:evenHBand="0" w:firstRowFirstColumn="0" w:firstRowLastColumn="0" w:lastRowFirstColumn="0" w:lastRowLastColumn="0"/>
              <w:rPr>
                <w:sz w:val="20"/>
                <w:szCs w:val="20"/>
              </w:rPr>
            </w:pPr>
            <w:r w:rsidRPr="00F60B4C">
              <w:rPr>
                <w:rFonts w:cstheme="minorHAnsi"/>
                <w:sz w:val="20"/>
                <w:szCs w:val="20"/>
              </w:rPr>
              <w:t>provides ‘an advisory and decision-making body focused on building and improving the evidence base for policy and practice relevant to the outcomes of the NDA, NDS and NDIS, including those related to carers</w:t>
            </w:r>
            <w:r>
              <w:rPr>
                <w:rFonts w:cstheme="minorHAnsi"/>
                <w:sz w:val="20"/>
                <w:szCs w:val="20"/>
              </w:rPr>
              <w:t>’.</w:t>
            </w:r>
            <w:r w:rsidRPr="00F60B4C">
              <w:rPr>
                <w:rStyle w:val="FootnoteReference"/>
                <w:rFonts w:cstheme="minorHAnsi"/>
                <w:sz w:val="20"/>
                <w:szCs w:val="20"/>
              </w:rPr>
              <w:footnoteReference w:id="5"/>
            </w:r>
            <w:r w:rsidRPr="00F60B4C">
              <w:rPr>
                <w:rFonts w:cstheme="minorHAnsi"/>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tcPr>
          <w:p w:rsidR="009A5DF3" w:rsidRPr="00F60B4C" w:rsidRDefault="009A5DF3" w:rsidP="0045288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60B4C">
              <w:rPr>
                <w:sz w:val="20"/>
                <w:szCs w:val="20"/>
              </w:rPr>
              <w:t xml:space="preserve">Commonwealth, </w:t>
            </w:r>
            <w:r>
              <w:rPr>
                <w:sz w:val="20"/>
                <w:szCs w:val="20"/>
              </w:rPr>
              <w:t>S</w:t>
            </w:r>
            <w:r w:rsidRPr="00F60B4C">
              <w:rPr>
                <w:sz w:val="20"/>
                <w:szCs w:val="20"/>
              </w:rPr>
              <w:t xml:space="preserve">tate and </w:t>
            </w:r>
            <w:r>
              <w:rPr>
                <w:sz w:val="20"/>
                <w:szCs w:val="20"/>
              </w:rPr>
              <w:t>T</w:t>
            </w:r>
            <w:r w:rsidRPr="00F60B4C">
              <w:rPr>
                <w:sz w:val="20"/>
                <w:szCs w:val="20"/>
              </w:rPr>
              <w:t xml:space="preserve">erritory Governments </w:t>
            </w:r>
          </w:p>
          <w:p w:rsidR="009A5DF3" w:rsidRPr="00F60B4C" w:rsidRDefault="009A5DF3" w:rsidP="004528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9A5DF3" w:rsidRPr="00954D84" w:rsidRDefault="009A5DF3" w:rsidP="00954D84">
      <w:pPr>
        <w:pStyle w:val="Heading2"/>
        <w:spacing w:before="0" w:after="120"/>
        <w:rPr>
          <w:rFonts w:ascii="Arial" w:hAnsi="Arial" w:cs="Arial"/>
          <w:sz w:val="32"/>
          <w:szCs w:val="32"/>
        </w:rPr>
      </w:pPr>
      <w:r>
        <w:rPr>
          <w:rFonts w:ascii="Arial Black" w:hAnsi="Arial Black"/>
          <w:sz w:val="40"/>
          <w:szCs w:val="40"/>
        </w:rPr>
        <w:br w:type="page"/>
      </w:r>
      <w:bookmarkStart w:id="8" w:name="_Toc50989018"/>
      <w:r w:rsidRPr="00954D84">
        <w:rPr>
          <w:rFonts w:ascii="Arial" w:hAnsi="Arial" w:cs="Arial"/>
          <w:sz w:val="32"/>
          <w:szCs w:val="32"/>
        </w:rPr>
        <w:lastRenderedPageBreak/>
        <w:t>Governance in NSW</w:t>
      </w:r>
      <w:bookmarkEnd w:id="8"/>
    </w:p>
    <w:p w:rsidR="009A5DF3" w:rsidRPr="00C903B8" w:rsidRDefault="009A5DF3" w:rsidP="009A5DF3">
      <w:pPr>
        <w:spacing w:after="0" w:line="276" w:lineRule="auto"/>
        <w:rPr>
          <w:sz w:val="24"/>
          <w:szCs w:val="24"/>
        </w:rPr>
      </w:pPr>
      <w:r w:rsidRPr="00C903B8">
        <w:rPr>
          <w:sz w:val="24"/>
          <w:szCs w:val="24"/>
        </w:rPr>
        <w:t xml:space="preserve">Governance arrangements in NSW in regards to the </w:t>
      </w:r>
      <w:r>
        <w:rPr>
          <w:sz w:val="24"/>
          <w:szCs w:val="24"/>
        </w:rPr>
        <w:t>Strategy</w:t>
      </w:r>
      <w:r w:rsidRPr="00C903B8">
        <w:rPr>
          <w:sz w:val="24"/>
          <w:szCs w:val="24"/>
        </w:rPr>
        <w:t xml:space="preserve"> and disability policy more generally are also </w:t>
      </w:r>
      <w:r w:rsidRPr="0029433B">
        <w:rPr>
          <w:sz w:val="24"/>
          <w:szCs w:val="24"/>
        </w:rPr>
        <w:t>under</w:t>
      </w:r>
      <w:r w:rsidR="0029433B" w:rsidRPr="0029433B">
        <w:rPr>
          <w:sz w:val="24"/>
          <w:szCs w:val="24"/>
        </w:rPr>
        <w:t xml:space="preserve"> review</w:t>
      </w:r>
      <w:r w:rsidRPr="0029433B">
        <w:rPr>
          <w:sz w:val="24"/>
          <w:szCs w:val="24"/>
        </w:rPr>
        <w:t>. As</w:t>
      </w:r>
      <w:r>
        <w:rPr>
          <w:sz w:val="24"/>
          <w:szCs w:val="24"/>
        </w:rPr>
        <w:t xml:space="preserve"> of mid-2020, Department of Communities and Justice (DCJ) are now the lead coordinating agency in regards to implementing and reporting on the NDS. DCJ are leading the NSW Government’s input and positions into the current review of the NDS.</w:t>
      </w:r>
      <w:r w:rsidR="00E62399">
        <w:rPr>
          <w:sz w:val="24"/>
          <w:szCs w:val="24"/>
        </w:rPr>
        <w:t xml:space="preserve"> </w:t>
      </w:r>
    </w:p>
    <w:p w:rsidR="009A5DF3" w:rsidRDefault="009A5DF3" w:rsidP="009A5DF3">
      <w:pPr>
        <w:spacing w:after="0" w:line="276" w:lineRule="auto"/>
        <w:rPr>
          <w:sz w:val="24"/>
          <w:szCs w:val="24"/>
        </w:rPr>
      </w:pPr>
    </w:p>
    <w:p w:rsidR="009A5DF3" w:rsidRPr="00C903B8" w:rsidRDefault="009A5DF3" w:rsidP="009A5DF3">
      <w:pPr>
        <w:spacing w:after="60" w:line="276" w:lineRule="auto"/>
        <w:rPr>
          <w:sz w:val="24"/>
          <w:szCs w:val="24"/>
        </w:rPr>
      </w:pPr>
      <w:r w:rsidRPr="00C903B8">
        <w:rPr>
          <w:sz w:val="24"/>
          <w:szCs w:val="24"/>
        </w:rPr>
        <w:t>Prior to th</w:t>
      </w:r>
      <w:r>
        <w:rPr>
          <w:sz w:val="24"/>
          <w:szCs w:val="24"/>
        </w:rPr>
        <w:t xml:space="preserve">is, </w:t>
      </w:r>
      <w:r w:rsidR="004E0C66">
        <w:rPr>
          <w:sz w:val="24"/>
          <w:szCs w:val="24"/>
        </w:rPr>
        <w:t xml:space="preserve">ADC understands that </w:t>
      </w:r>
      <w:r>
        <w:rPr>
          <w:sz w:val="24"/>
          <w:szCs w:val="24"/>
        </w:rPr>
        <w:t xml:space="preserve">NSW </w:t>
      </w:r>
      <w:r w:rsidRPr="00C903B8">
        <w:rPr>
          <w:sz w:val="24"/>
          <w:szCs w:val="24"/>
        </w:rPr>
        <w:t xml:space="preserve">governance </w:t>
      </w:r>
      <w:r>
        <w:rPr>
          <w:sz w:val="24"/>
          <w:szCs w:val="24"/>
        </w:rPr>
        <w:t>operated as follows:</w:t>
      </w:r>
      <w:r w:rsidRPr="00C903B8">
        <w:rPr>
          <w:sz w:val="24"/>
          <w:szCs w:val="24"/>
        </w:rPr>
        <w:t xml:space="preserve"> </w:t>
      </w:r>
    </w:p>
    <w:p w:rsidR="009A5DF3" w:rsidRPr="00C903B8" w:rsidRDefault="009A5DF3" w:rsidP="00A2519B">
      <w:pPr>
        <w:pStyle w:val="ListParagraph"/>
        <w:numPr>
          <w:ilvl w:val="0"/>
          <w:numId w:val="13"/>
        </w:numPr>
        <w:spacing w:after="60" w:line="276" w:lineRule="auto"/>
        <w:ind w:left="720"/>
        <w:rPr>
          <w:rFonts w:cstheme="minorHAnsi"/>
          <w:sz w:val="24"/>
          <w:szCs w:val="24"/>
        </w:rPr>
      </w:pPr>
      <w:r w:rsidRPr="00C903B8">
        <w:rPr>
          <w:rFonts w:cstheme="minorHAnsi"/>
          <w:b/>
          <w:sz w:val="24"/>
          <w:szCs w:val="24"/>
        </w:rPr>
        <w:t>D</w:t>
      </w:r>
      <w:r>
        <w:rPr>
          <w:rFonts w:cstheme="minorHAnsi"/>
          <w:b/>
          <w:sz w:val="24"/>
          <w:szCs w:val="24"/>
        </w:rPr>
        <w:t xml:space="preserve">epartment of </w:t>
      </w:r>
      <w:r w:rsidRPr="00C903B8">
        <w:rPr>
          <w:rFonts w:cstheme="minorHAnsi"/>
          <w:b/>
          <w:sz w:val="24"/>
          <w:szCs w:val="24"/>
        </w:rPr>
        <w:t>P</w:t>
      </w:r>
      <w:r>
        <w:rPr>
          <w:rFonts w:cstheme="minorHAnsi"/>
          <w:b/>
          <w:sz w:val="24"/>
          <w:szCs w:val="24"/>
        </w:rPr>
        <w:t xml:space="preserve">remier and </w:t>
      </w:r>
      <w:r w:rsidRPr="00C903B8">
        <w:rPr>
          <w:rFonts w:cstheme="minorHAnsi"/>
          <w:b/>
          <w:sz w:val="24"/>
          <w:szCs w:val="24"/>
        </w:rPr>
        <w:t>C</w:t>
      </w:r>
      <w:r>
        <w:rPr>
          <w:rFonts w:cstheme="minorHAnsi"/>
          <w:b/>
          <w:sz w:val="24"/>
          <w:szCs w:val="24"/>
        </w:rPr>
        <w:t>abinet (DPC)</w:t>
      </w:r>
      <w:r w:rsidRPr="00C903B8">
        <w:rPr>
          <w:rFonts w:cstheme="minorHAnsi"/>
          <w:sz w:val="24"/>
          <w:szCs w:val="24"/>
        </w:rPr>
        <w:t xml:space="preserve"> </w:t>
      </w:r>
      <w:r>
        <w:rPr>
          <w:rFonts w:cstheme="minorHAnsi"/>
          <w:sz w:val="24"/>
          <w:szCs w:val="24"/>
        </w:rPr>
        <w:t>–</w:t>
      </w:r>
      <w:r w:rsidRPr="00C903B8">
        <w:rPr>
          <w:rFonts w:cstheme="minorHAnsi"/>
          <w:sz w:val="24"/>
          <w:szCs w:val="24"/>
        </w:rPr>
        <w:t xml:space="preserve"> previously coordinated NSW reporting on the </w:t>
      </w:r>
      <w:r>
        <w:rPr>
          <w:rFonts w:cstheme="minorHAnsi"/>
          <w:sz w:val="24"/>
          <w:szCs w:val="24"/>
        </w:rPr>
        <w:t>Strategy</w:t>
      </w:r>
      <w:r w:rsidRPr="00C903B8">
        <w:rPr>
          <w:rFonts w:cstheme="minorHAnsi"/>
          <w:sz w:val="24"/>
          <w:szCs w:val="24"/>
        </w:rPr>
        <w:t>.</w:t>
      </w:r>
      <w:r>
        <w:rPr>
          <w:rFonts w:cstheme="minorHAnsi"/>
          <w:sz w:val="24"/>
          <w:szCs w:val="24"/>
        </w:rPr>
        <w:t xml:space="preserve"> DPC</w:t>
      </w:r>
      <w:r w:rsidRPr="00C903B8">
        <w:rPr>
          <w:rFonts w:cstheme="minorHAnsi"/>
          <w:sz w:val="24"/>
          <w:szCs w:val="24"/>
        </w:rPr>
        <w:t xml:space="preserve"> would request</w:t>
      </w:r>
      <w:r>
        <w:rPr>
          <w:rFonts w:cstheme="minorHAnsi"/>
          <w:sz w:val="24"/>
          <w:szCs w:val="24"/>
        </w:rPr>
        <w:t xml:space="preserve"> </w:t>
      </w:r>
      <w:r w:rsidRPr="00C903B8">
        <w:rPr>
          <w:rFonts w:cstheme="minorHAnsi"/>
          <w:sz w:val="24"/>
          <w:szCs w:val="24"/>
        </w:rPr>
        <w:t xml:space="preserve">all clusters </w:t>
      </w:r>
      <w:r>
        <w:rPr>
          <w:rFonts w:cstheme="minorHAnsi"/>
          <w:sz w:val="24"/>
          <w:szCs w:val="24"/>
        </w:rPr>
        <w:t xml:space="preserve">to </w:t>
      </w:r>
      <w:r w:rsidRPr="00C903B8">
        <w:rPr>
          <w:rFonts w:cstheme="minorHAnsi"/>
          <w:sz w:val="24"/>
          <w:szCs w:val="24"/>
        </w:rPr>
        <w:t xml:space="preserve">provide a report on their implementation of the </w:t>
      </w:r>
      <w:r>
        <w:rPr>
          <w:rFonts w:cstheme="minorHAnsi"/>
          <w:sz w:val="24"/>
          <w:szCs w:val="24"/>
        </w:rPr>
        <w:t>Strategy</w:t>
      </w:r>
      <w:r w:rsidRPr="00C903B8">
        <w:rPr>
          <w:rFonts w:cstheme="minorHAnsi"/>
          <w:sz w:val="24"/>
          <w:szCs w:val="24"/>
        </w:rPr>
        <w:t xml:space="preserve"> to </w:t>
      </w:r>
      <w:r>
        <w:rPr>
          <w:rFonts w:cstheme="minorHAnsi"/>
          <w:sz w:val="24"/>
          <w:szCs w:val="24"/>
        </w:rPr>
        <w:t xml:space="preserve">the (then) Department of </w:t>
      </w:r>
      <w:r w:rsidRPr="00C903B8">
        <w:rPr>
          <w:rFonts w:cstheme="minorHAnsi"/>
          <w:sz w:val="24"/>
          <w:szCs w:val="24"/>
        </w:rPr>
        <w:t xml:space="preserve">Family and Community Services (now known as DCJ), who would compile </w:t>
      </w:r>
      <w:r>
        <w:rPr>
          <w:rFonts w:cstheme="minorHAnsi"/>
          <w:sz w:val="24"/>
          <w:szCs w:val="24"/>
        </w:rPr>
        <w:t xml:space="preserve">the information </w:t>
      </w:r>
      <w:r w:rsidRPr="00C903B8">
        <w:rPr>
          <w:rFonts w:cstheme="minorHAnsi"/>
          <w:sz w:val="24"/>
          <w:szCs w:val="24"/>
        </w:rPr>
        <w:t xml:space="preserve">into a single report. DPC would provide the NSW report to </w:t>
      </w:r>
      <w:r>
        <w:rPr>
          <w:rFonts w:cstheme="minorHAnsi"/>
          <w:sz w:val="24"/>
          <w:szCs w:val="24"/>
        </w:rPr>
        <w:t xml:space="preserve">the </w:t>
      </w:r>
      <w:r w:rsidRPr="00C903B8">
        <w:rPr>
          <w:rFonts w:cstheme="minorHAnsi"/>
          <w:sz w:val="24"/>
          <w:szCs w:val="24"/>
        </w:rPr>
        <w:t xml:space="preserve">Department of Social Services (DSS). DPC exited from </w:t>
      </w:r>
      <w:r>
        <w:rPr>
          <w:rFonts w:cstheme="minorHAnsi"/>
          <w:sz w:val="24"/>
          <w:szCs w:val="24"/>
        </w:rPr>
        <w:t>its</w:t>
      </w:r>
      <w:r w:rsidRPr="00C903B8">
        <w:rPr>
          <w:rFonts w:cstheme="minorHAnsi"/>
          <w:sz w:val="24"/>
          <w:szCs w:val="24"/>
        </w:rPr>
        <w:t xml:space="preserve"> role in reporting on the </w:t>
      </w:r>
      <w:r>
        <w:rPr>
          <w:rFonts w:cstheme="minorHAnsi"/>
          <w:sz w:val="24"/>
          <w:szCs w:val="24"/>
        </w:rPr>
        <w:t>Strategy on 30 June</w:t>
      </w:r>
      <w:r w:rsidRPr="00C903B8">
        <w:rPr>
          <w:rFonts w:cstheme="minorHAnsi"/>
          <w:sz w:val="24"/>
          <w:szCs w:val="24"/>
        </w:rPr>
        <w:t xml:space="preserve"> 2020.</w:t>
      </w:r>
      <w:r>
        <w:rPr>
          <w:rFonts w:cstheme="minorHAnsi"/>
          <w:sz w:val="24"/>
          <w:szCs w:val="24"/>
        </w:rPr>
        <w:t xml:space="preserve"> </w:t>
      </w:r>
      <w:r w:rsidRPr="00C903B8">
        <w:rPr>
          <w:rFonts w:cstheme="minorHAnsi"/>
          <w:sz w:val="24"/>
          <w:szCs w:val="24"/>
        </w:rPr>
        <w:t>This responsibility now sits with DCJ’s Disability Policy Unit</w:t>
      </w:r>
      <w:r>
        <w:rPr>
          <w:rFonts w:cstheme="minorHAnsi"/>
          <w:sz w:val="24"/>
          <w:szCs w:val="24"/>
        </w:rPr>
        <w:t>.</w:t>
      </w:r>
      <w:r w:rsidRPr="00C903B8">
        <w:rPr>
          <w:rStyle w:val="FootnoteReference"/>
          <w:rFonts w:cstheme="minorHAnsi"/>
          <w:sz w:val="24"/>
          <w:szCs w:val="24"/>
        </w:rPr>
        <w:footnoteReference w:id="6"/>
      </w:r>
    </w:p>
    <w:p w:rsidR="009A5DF3" w:rsidRPr="00C903B8" w:rsidRDefault="009A5DF3" w:rsidP="00A2519B">
      <w:pPr>
        <w:pStyle w:val="ListParagraph"/>
        <w:numPr>
          <w:ilvl w:val="0"/>
          <w:numId w:val="13"/>
        </w:numPr>
        <w:spacing w:after="60" w:line="276" w:lineRule="auto"/>
        <w:ind w:left="720"/>
        <w:rPr>
          <w:rFonts w:cstheme="minorHAnsi"/>
          <w:sz w:val="24"/>
          <w:szCs w:val="24"/>
        </w:rPr>
      </w:pPr>
      <w:r w:rsidRPr="00C903B8">
        <w:rPr>
          <w:rFonts w:cstheme="minorHAnsi"/>
          <w:b/>
          <w:sz w:val="24"/>
          <w:szCs w:val="24"/>
        </w:rPr>
        <w:t xml:space="preserve">Disability Board </w:t>
      </w:r>
      <w:r w:rsidRPr="00C903B8">
        <w:rPr>
          <w:rFonts w:cstheme="minorHAnsi"/>
          <w:sz w:val="24"/>
          <w:szCs w:val="24"/>
        </w:rPr>
        <w:t xml:space="preserve">– attended by </w:t>
      </w:r>
      <w:r>
        <w:rPr>
          <w:rFonts w:cstheme="minorHAnsi"/>
          <w:sz w:val="24"/>
          <w:szCs w:val="24"/>
        </w:rPr>
        <w:t>S</w:t>
      </w:r>
      <w:r w:rsidRPr="00C903B8">
        <w:rPr>
          <w:rFonts w:cstheme="minorHAnsi"/>
          <w:sz w:val="24"/>
          <w:szCs w:val="24"/>
        </w:rPr>
        <w:t xml:space="preserve">ecretaries and </w:t>
      </w:r>
      <w:r>
        <w:rPr>
          <w:rFonts w:cstheme="minorHAnsi"/>
          <w:sz w:val="24"/>
          <w:szCs w:val="24"/>
        </w:rPr>
        <w:t>D</w:t>
      </w:r>
      <w:r w:rsidRPr="00C903B8">
        <w:rPr>
          <w:rFonts w:cstheme="minorHAnsi"/>
          <w:sz w:val="24"/>
          <w:szCs w:val="24"/>
        </w:rPr>
        <w:t xml:space="preserve">eputy </w:t>
      </w:r>
      <w:r>
        <w:rPr>
          <w:rFonts w:cstheme="minorHAnsi"/>
          <w:sz w:val="24"/>
          <w:szCs w:val="24"/>
        </w:rPr>
        <w:t>S</w:t>
      </w:r>
      <w:r w:rsidRPr="00C903B8">
        <w:rPr>
          <w:rFonts w:cstheme="minorHAnsi"/>
          <w:sz w:val="24"/>
          <w:szCs w:val="24"/>
        </w:rPr>
        <w:t xml:space="preserve">ecretaries </w:t>
      </w:r>
      <w:r>
        <w:rPr>
          <w:rFonts w:cstheme="minorHAnsi"/>
          <w:sz w:val="24"/>
          <w:szCs w:val="24"/>
        </w:rPr>
        <w:t>of</w:t>
      </w:r>
      <w:r w:rsidRPr="00C903B8">
        <w:rPr>
          <w:rFonts w:cstheme="minorHAnsi"/>
          <w:sz w:val="24"/>
          <w:szCs w:val="24"/>
        </w:rPr>
        <w:t xml:space="preserve"> </w:t>
      </w:r>
      <w:r>
        <w:rPr>
          <w:rFonts w:cstheme="minorHAnsi"/>
          <w:sz w:val="24"/>
          <w:szCs w:val="24"/>
        </w:rPr>
        <w:t>NSW G</w:t>
      </w:r>
      <w:r w:rsidRPr="00C903B8">
        <w:rPr>
          <w:rFonts w:cstheme="minorHAnsi"/>
          <w:sz w:val="24"/>
          <w:szCs w:val="24"/>
        </w:rPr>
        <w:t>overnment</w:t>
      </w:r>
      <w:r>
        <w:rPr>
          <w:rFonts w:cstheme="minorHAnsi"/>
          <w:sz w:val="24"/>
          <w:szCs w:val="24"/>
        </w:rPr>
        <w:t xml:space="preserve"> agencies,</w:t>
      </w:r>
      <w:r w:rsidRPr="00C903B8">
        <w:rPr>
          <w:rFonts w:cstheme="minorHAnsi"/>
          <w:sz w:val="24"/>
          <w:szCs w:val="24"/>
        </w:rPr>
        <w:t xml:space="preserve"> overs</w:t>
      </w:r>
      <w:r>
        <w:rPr>
          <w:rFonts w:cstheme="minorHAnsi"/>
          <w:sz w:val="24"/>
          <w:szCs w:val="24"/>
        </w:rPr>
        <w:t>ee</w:t>
      </w:r>
      <w:r w:rsidRPr="00C903B8">
        <w:rPr>
          <w:rFonts w:cstheme="minorHAnsi"/>
          <w:sz w:val="24"/>
          <w:szCs w:val="24"/>
        </w:rPr>
        <w:t xml:space="preserve">ing the implementation of the NDIS, the </w:t>
      </w:r>
      <w:r>
        <w:rPr>
          <w:rFonts w:cstheme="minorHAnsi"/>
          <w:sz w:val="24"/>
          <w:szCs w:val="24"/>
        </w:rPr>
        <w:t>Strategy,</w:t>
      </w:r>
      <w:r w:rsidRPr="00C903B8">
        <w:rPr>
          <w:rFonts w:cstheme="minorHAnsi"/>
          <w:sz w:val="24"/>
          <w:szCs w:val="24"/>
        </w:rPr>
        <w:t xml:space="preserve"> and disability policy more broadly across government.</w:t>
      </w:r>
    </w:p>
    <w:p w:rsidR="009A5DF3" w:rsidRPr="00C903B8" w:rsidRDefault="009A5DF3" w:rsidP="00A2519B">
      <w:pPr>
        <w:pStyle w:val="ListParagraph"/>
        <w:numPr>
          <w:ilvl w:val="0"/>
          <w:numId w:val="13"/>
        </w:numPr>
        <w:spacing w:after="60" w:line="276" w:lineRule="auto"/>
        <w:ind w:left="720"/>
        <w:rPr>
          <w:rFonts w:cstheme="minorHAnsi"/>
          <w:sz w:val="24"/>
          <w:szCs w:val="24"/>
        </w:rPr>
      </w:pPr>
      <w:r w:rsidRPr="00C903B8">
        <w:rPr>
          <w:b/>
          <w:sz w:val="24"/>
          <w:szCs w:val="24"/>
        </w:rPr>
        <w:t>D</w:t>
      </w:r>
      <w:r w:rsidRPr="00C903B8">
        <w:rPr>
          <w:rFonts w:cstheme="minorHAnsi"/>
          <w:b/>
          <w:sz w:val="24"/>
          <w:szCs w:val="24"/>
        </w:rPr>
        <w:t>isability Inclusion Plan Implementation Committee (DIPIC)</w:t>
      </w:r>
      <w:r w:rsidRPr="00835FC0">
        <w:rPr>
          <w:rFonts w:cstheme="minorHAnsi"/>
          <w:sz w:val="24"/>
          <w:szCs w:val="24"/>
        </w:rPr>
        <w:t xml:space="preserve"> </w:t>
      </w:r>
      <w:r>
        <w:rPr>
          <w:rFonts w:cstheme="minorHAnsi"/>
          <w:sz w:val="24"/>
          <w:szCs w:val="24"/>
        </w:rPr>
        <w:t>–</w:t>
      </w:r>
      <w:r w:rsidRPr="00835FC0">
        <w:rPr>
          <w:rFonts w:cstheme="minorHAnsi"/>
          <w:sz w:val="24"/>
          <w:szCs w:val="24"/>
        </w:rPr>
        <w:t xml:space="preserve"> </w:t>
      </w:r>
      <w:r w:rsidRPr="00C903B8">
        <w:rPr>
          <w:rFonts w:cstheme="minorHAnsi"/>
          <w:sz w:val="24"/>
          <w:szCs w:val="24"/>
        </w:rPr>
        <w:t xml:space="preserve">led by DCJ, oversaw the NSW implementation of the </w:t>
      </w:r>
      <w:r>
        <w:rPr>
          <w:rFonts w:cstheme="minorHAnsi"/>
          <w:sz w:val="24"/>
          <w:szCs w:val="24"/>
        </w:rPr>
        <w:t>Strategy</w:t>
      </w:r>
      <w:r w:rsidRPr="00C903B8">
        <w:rPr>
          <w:rFonts w:cstheme="minorHAnsi"/>
          <w:sz w:val="24"/>
          <w:szCs w:val="24"/>
        </w:rPr>
        <w:t xml:space="preserve">, as well as the </w:t>
      </w:r>
      <w:r>
        <w:rPr>
          <w:rFonts w:cstheme="minorHAnsi"/>
          <w:sz w:val="24"/>
          <w:szCs w:val="24"/>
        </w:rPr>
        <w:t xml:space="preserve">NSW </w:t>
      </w:r>
      <w:r w:rsidRPr="00C903B8">
        <w:rPr>
          <w:rFonts w:cstheme="minorHAnsi"/>
          <w:sz w:val="24"/>
          <w:szCs w:val="24"/>
        </w:rPr>
        <w:t>D</w:t>
      </w:r>
      <w:r>
        <w:rPr>
          <w:rFonts w:cstheme="minorHAnsi"/>
          <w:sz w:val="24"/>
          <w:szCs w:val="24"/>
        </w:rPr>
        <w:t xml:space="preserve">isability </w:t>
      </w:r>
      <w:r w:rsidRPr="00C903B8">
        <w:rPr>
          <w:rFonts w:cstheme="minorHAnsi"/>
          <w:sz w:val="24"/>
          <w:szCs w:val="24"/>
        </w:rPr>
        <w:t>I</w:t>
      </w:r>
      <w:r>
        <w:rPr>
          <w:rFonts w:cstheme="minorHAnsi"/>
          <w:sz w:val="24"/>
          <w:szCs w:val="24"/>
        </w:rPr>
        <w:t xml:space="preserve">nclusion </w:t>
      </w:r>
      <w:r w:rsidRPr="00C903B8">
        <w:rPr>
          <w:rFonts w:cstheme="minorHAnsi"/>
          <w:sz w:val="24"/>
          <w:szCs w:val="24"/>
        </w:rPr>
        <w:t>P</w:t>
      </w:r>
      <w:r>
        <w:rPr>
          <w:rFonts w:cstheme="minorHAnsi"/>
          <w:sz w:val="24"/>
          <w:szCs w:val="24"/>
        </w:rPr>
        <w:t>lan</w:t>
      </w:r>
      <w:r w:rsidRPr="00C903B8">
        <w:rPr>
          <w:rFonts w:cstheme="minorHAnsi"/>
          <w:sz w:val="24"/>
          <w:szCs w:val="24"/>
        </w:rPr>
        <w:t xml:space="preserve"> and D</w:t>
      </w:r>
      <w:r>
        <w:rPr>
          <w:rFonts w:cstheme="minorHAnsi"/>
          <w:sz w:val="24"/>
          <w:szCs w:val="24"/>
        </w:rPr>
        <w:t xml:space="preserve">isability </w:t>
      </w:r>
      <w:r w:rsidRPr="00C903B8">
        <w:rPr>
          <w:rFonts w:cstheme="minorHAnsi"/>
          <w:sz w:val="24"/>
          <w:szCs w:val="24"/>
        </w:rPr>
        <w:t>I</w:t>
      </w:r>
      <w:r>
        <w:rPr>
          <w:rFonts w:cstheme="minorHAnsi"/>
          <w:sz w:val="24"/>
          <w:szCs w:val="24"/>
        </w:rPr>
        <w:t xml:space="preserve">nclusion </w:t>
      </w:r>
      <w:r w:rsidRPr="00C903B8">
        <w:rPr>
          <w:rFonts w:cstheme="minorHAnsi"/>
          <w:sz w:val="24"/>
          <w:szCs w:val="24"/>
        </w:rPr>
        <w:t>A</w:t>
      </w:r>
      <w:r>
        <w:rPr>
          <w:rFonts w:cstheme="minorHAnsi"/>
          <w:sz w:val="24"/>
          <w:szCs w:val="24"/>
        </w:rPr>
        <w:t xml:space="preserve">ction </w:t>
      </w:r>
      <w:r w:rsidRPr="00C903B8">
        <w:rPr>
          <w:rFonts w:cstheme="minorHAnsi"/>
          <w:sz w:val="24"/>
          <w:szCs w:val="24"/>
        </w:rPr>
        <w:t>P</w:t>
      </w:r>
      <w:r>
        <w:rPr>
          <w:rFonts w:cstheme="minorHAnsi"/>
          <w:sz w:val="24"/>
          <w:szCs w:val="24"/>
        </w:rPr>
        <w:t>lan</w:t>
      </w:r>
      <w:r w:rsidRPr="00C903B8">
        <w:rPr>
          <w:rFonts w:cstheme="minorHAnsi"/>
          <w:sz w:val="24"/>
          <w:szCs w:val="24"/>
        </w:rPr>
        <w:t xml:space="preserve">s across NSW </w:t>
      </w:r>
      <w:r>
        <w:rPr>
          <w:rFonts w:cstheme="minorHAnsi"/>
          <w:sz w:val="24"/>
          <w:szCs w:val="24"/>
        </w:rPr>
        <w:t>Government agencies and local councils</w:t>
      </w:r>
      <w:r w:rsidRPr="00C903B8">
        <w:rPr>
          <w:rFonts w:cstheme="minorHAnsi"/>
          <w:sz w:val="24"/>
          <w:szCs w:val="24"/>
        </w:rPr>
        <w:t>. The DIPIC:</w:t>
      </w:r>
    </w:p>
    <w:p w:rsidR="009A5DF3" w:rsidRPr="00C903B8" w:rsidRDefault="009A5DF3" w:rsidP="009505D2">
      <w:pPr>
        <w:pStyle w:val="ListParagraph"/>
        <w:numPr>
          <w:ilvl w:val="0"/>
          <w:numId w:val="33"/>
        </w:numPr>
        <w:spacing w:after="60" w:line="276" w:lineRule="auto"/>
        <w:rPr>
          <w:rFonts w:cstheme="minorHAnsi"/>
          <w:sz w:val="24"/>
          <w:szCs w:val="24"/>
        </w:rPr>
      </w:pPr>
      <w:r w:rsidRPr="00C903B8">
        <w:rPr>
          <w:rFonts w:cstheme="minorHAnsi"/>
          <w:sz w:val="24"/>
          <w:szCs w:val="24"/>
        </w:rPr>
        <w:t xml:space="preserve">has included representation from </w:t>
      </w:r>
      <w:r>
        <w:rPr>
          <w:rFonts w:cstheme="minorHAnsi"/>
          <w:sz w:val="24"/>
          <w:szCs w:val="24"/>
        </w:rPr>
        <w:t>NSW</w:t>
      </w:r>
      <w:r w:rsidRPr="00C903B8">
        <w:rPr>
          <w:rFonts w:cstheme="minorHAnsi"/>
          <w:sz w:val="24"/>
          <w:szCs w:val="24"/>
        </w:rPr>
        <w:t xml:space="preserve"> and local government as well as the disability sector</w:t>
      </w:r>
      <w:r>
        <w:rPr>
          <w:rFonts w:cstheme="minorHAnsi"/>
          <w:sz w:val="24"/>
          <w:szCs w:val="24"/>
        </w:rPr>
        <w:t>,</w:t>
      </w:r>
      <w:r w:rsidRPr="00C903B8">
        <w:rPr>
          <w:rFonts w:cstheme="minorHAnsi"/>
          <w:sz w:val="24"/>
          <w:szCs w:val="24"/>
        </w:rPr>
        <w:t xml:space="preserve"> including peak bodies such as the Physical Disability Council </w:t>
      </w:r>
      <w:r>
        <w:rPr>
          <w:rFonts w:cstheme="minorHAnsi"/>
          <w:sz w:val="24"/>
          <w:szCs w:val="24"/>
        </w:rPr>
        <w:t xml:space="preserve">of NSW </w:t>
      </w:r>
      <w:r w:rsidRPr="00C903B8">
        <w:rPr>
          <w:rFonts w:cstheme="minorHAnsi"/>
          <w:sz w:val="24"/>
          <w:szCs w:val="24"/>
        </w:rPr>
        <w:t xml:space="preserve">and </w:t>
      </w:r>
      <w:r>
        <w:rPr>
          <w:rFonts w:cstheme="minorHAnsi"/>
          <w:sz w:val="24"/>
          <w:szCs w:val="24"/>
        </w:rPr>
        <w:t>NSW</w:t>
      </w:r>
      <w:r w:rsidRPr="00C903B8">
        <w:rPr>
          <w:rFonts w:cstheme="minorHAnsi"/>
          <w:sz w:val="24"/>
          <w:szCs w:val="24"/>
        </w:rPr>
        <w:t xml:space="preserve"> Council for Intellectual Disability</w:t>
      </w:r>
    </w:p>
    <w:p w:rsidR="009A10C1" w:rsidRPr="0098142C" w:rsidRDefault="009A5DF3" w:rsidP="009505D2">
      <w:pPr>
        <w:pStyle w:val="ListParagraph"/>
        <w:numPr>
          <w:ilvl w:val="0"/>
          <w:numId w:val="33"/>
        </w:numPr>
        <w:spacing w:after="120" w:line="276" w:lineRule="auto"/>
        <w:rPr>
          <w:rFonts w:ascii="Arial" w:hAnsi="Arial" w:cs="Arial"/>
          <w:b/>
          <w:bCs/>
          <w:color w:val="002060"/>
          <w:sz w:val="32"/>
          <w:szCs w:val="32"/>
        </w:rPr>
      </w:pPr>
      <w:r w:rsidRPr="0098142C">
        <w:rPr>
          <w:sz w:val="24"/>
          <w:szCs w:val="24"/>
        </w:rPr>
        <w:t xml:space="preserve">is likely to cease operation, with its functions absorbed into the Program Implementation Committee (PIC) that oversees government disability policy more broadly in NSW. </w:t>
      </w:r>
      <w:r w:rsidR="009A10C1" w:rsidRPr="0098142C">
        <w:rPr>
          <w:sz w:val="24"/>
          <w:szCs w:val="24"/>
        </w:rPr>
        <w:t xml:space="preserve"> </w:t>
      </w:r>
    </w:p>
    <w:p w:rsidR="0065218A" w:rsidRDefault="0065218A" w:rsidP="0098142C">
      <w:pPr>
        <w:spacing w:after="120" w:line="276" w:lineRule="auto"/>
        <w:rPr>
          <w:rFonts w:ascii="Arial" w:hAnsi="Arial" w:cs="Arial"/>
          <w:b/>
          <w:bCs/>
          <w:color w:val="002060"/>
          <w:sz w:val="32"/>
          <w:szCs w:val="32"/>
        </w:rPr>
      </w:pPr>
    </w:p>
    <w:p w:rsidR="002E302B" w:rsidRDefault="002E302B">
      <w:pPr>
        <w:rPr>
          <w:rFonts w:ascii="Arial" w:hAnsi="Arial" w:cs="Arial"/>
          <w:b/>
          <w:bCs/>
          <w:color w:val="002060"/>
          <w:sz w:val="32"/>
          <w:szCs w:val="32"/>
        </w:rPr>
      </w:pPr>
      <w:r>
        <w:rPr>
          <w:rFonts w:ascii="Arial" w:hAnsi="Arial" w:cs="Arial"/>
          <w:b/>
          <w:bCs/>
          <w:color w:val="002060"/>
          <w:sz w:val="32"/>
          <w:szCs w:val="32"/>
        </w:rPr>
        <w:br w:type="page"/>
      </w:r>
    </w:p>
    <w:p w:rsidR="002E302B" w:rsidRPr="00954D84" w:rsidRDefault="002E302B" w:rsidP="00954D84">
      <w:pPr>
        <w:pStyle w:val="Heading1"/>
        <w:spacing w:before="0" w:after="120"/>
        <w:rPr>
          <w:rFonts w:ascii="Arial Black" w:hAnsi="Arial Black"/>
          <w:b/>
          <w:bCs/>
          <w:sz w:val="40"/>
          <w:szCs w:val="40"/>
        </w:rPr>
      </w:pPr>
      <w:bookmarkStart w:id="9" w:name="_Toc50989019"/>
      <w:r w:rsidRPr="00954D84">
        <w:rPr>
          <w:rFonts w:ascii="Arial Black" w:hAnsi="Arial Black"/>
          <w:b/>
          <w:bCs/>
          <w:sz w:val="40"/>
          <w:szCs w:val="40"/>
        </w:rPr>
        <w:lastRenderedPageBreak/>
        <w:t>APPENDIX 2</w:t>
      </w:r>
      <w:bookmarkEnd w:id="9"/>
    </w:p>
    <w:p w:rsidR="009A10C1" w:rsidRPr="00954D84" w:rsidRDefault="009A10C1" w:rsidP="00954D84">
      <w:pPr>
        <w:pStyle w:val="Heading2"/>
        <w:spacing w:before="0" w:after="120"/>
        <w:rPr>
          <w:rFonts w:ascii="Arial" w:hAnsi="Arial" w:cs="Arial"/>
          <w:sz w:val="32"/>
          <w:szCs w:val="32"/>
        </w:rPr>
      </w:pPr>
      <w:bookmarkStart w:id="10" w:name="_Toc50989020"/>
      <w:r w:rsidRPr="00954D84">
        <w:rPr>
          <w:rFonts w:ascii="Arial" w:hAnsi="Arial" w:cs="Arial"/>
          <w:sz w:val="32"/>
          <w:szCs w:val="32"/>
        </w:rPr>
        <w:t>Other related initiatives</w:t>
      </w:r>
      <w:r w:rsidR="0065218A" w:rsidRPr="00954D84">
        <w:rPr>
          <w:rFonts w:ascii="Arial" w:hAnsi="Arial" w:cs="Arial"/>
          <w:sz w:val="32"/>
          <w:szCs w:val="32"/>
        </w:rPr>
        <w:t xml:space="preserve"> &amp; indicators</w:t>
      </w:r>
      <w:bookmarkEnd w:id="10"/>
      <w:r w:rsidR="0065218A" w:rsidRPr="00954D84">
        <w:rPr>
          <w:rFonts w:ascii="Arial" w:hAnsi="Arial" w:cs="Arial"/>
          <w:sz w:val="32"/>
          <w:szCs w:val="32"/>
        </w:rPr>
        <w:t xml:space="preserve"> </w:t>
      </w:r>
    </w:p>
    <w:p w:rsidR="0045288F" w:rsidRPr="0045288F" w:rsidRDefault="009A10C1" w:rsidP="009505D2">
      <w:pPr>
        <w:pStyle w:val="ListParagraph"/>
        <w:numPr>
          <w:ilvl w:val="0"/>
          <w:numId w:val="30"/>
        </w:numPr>
        <w:spacing w:after="0" w:line="240" w:lineRule="auto"/>
        <w:ind w:left="360"/>
        <w:rPr>
          <w:rFonts w:cstheme="minorHAnsi"/>
        </w:rPr>
      </w:pPr>
      <w:r w:rsidRPr="0045288F">
        <w:rPr>
          <w:rFonts w:cstheme="minorHAnsi"/>
          <w:b/>
          <w:sz w:val="24"/>
          <w:szCs w:val="24"/>
        </w:rPr>
        <w:t>National Disability Insurance Scheme</w:t>
      </w:r>
      <w:r w:rsidRPr="0045288F">
        <w:rPr>
          <w:rFonts w:cstheme="minorHAnsi"/>
          <w:sz w:val="24"/>
          <w:szCs w:val="24"/>
        </w:rPr>
        <w:t xml:space="preserve"> – The roll out of the NDIS is considered one of the successful outcomes achieved under the Strategy. However, a recent review of the Strategy found that the NDIS had taken focus from, and lessened political commitment and interest in, implementing the Strategy. The review found ‘stakeholders felt the NDIS had ‘taken all the oxygen out of the room’, with limited policy attention placed on implementing other aspects of the Strategy.</w:t>
      </w:r>
      <w:r w:rsidRPr="00886497">
        <w:rPr>
          <w:rStyle w:val="FootnoteReference"/>
          <w:rFonts w:cstheme="minorHAnsi"/>
          <w:sz w:val="24"/>
          <w:szCs w:val="24"/>
        </w:rPr>
        <w:footnoteReference w:id="7"/>
      </w:r>
      <w:r w:rsidRPr="0045288F">
        <w:rPr>
          <w:rFonts w:cstheme="minorHAnsi"/>
          <w:sz w:val="24"/>
          <w:szCs w:val="24"/>
        </w:rPr>
        <w:t xml:space="preserve"> </w:t>
      </w:r>
      <w:r w:rsidR="0045288F" w:rsidRPr="0045288F">
        <w:rPr>
          <w:rFonts w:cstheme="minorHAnsi"/>
        </w:rPr>
        <w:t>The NDIA dashboard data includes data on Plan utilisation rates.</w:t>
      </w:r>
    </w:p>
    <w:p w:rsidR="009A10C1" w:rsidRPr="0098142C" w:rsidRDefault="009A10C1" w:rsidP="0045288F">
      <w:pPr>
        <w:pStyle w:val="ListParagraph"/>
        <w:spacing w:after="0" w:line="240" w:lineRule="auto"/>
        <w:ind w:left="-360"/>
        <w:rPr>
          <w:rFonts w:cstheme="minorHAnsi"/>
          <w:sz w:val="16"/>
          <w:szCs w:val="16"/>
        </w:rPr>
      </w:pPr>
    </w:p>
    <w:p w:rsidR="009A10C1" w:rsidRPr="00886497" w:rsidRDefault="009A10C1" w:rsidP="009505D2">
      <w:pPr>
        <w:pStyle w:val="ListParagraph"/>
        <w:numPr>
          <w:ilvl w:val="0"/>
          <w:numId w:val="30"/>
        </w:numPr>
        <w:spacing w:after="0" w:line="240" w:lineRule="auto"/>
        <w:ind w:left="360"/>
        <w:rPr>
          <w:rFonts w:cstheme="minorHAnsi"/>
          <w:sz w:val="24"/>
          <w:szCs w:val="24"/>
        </w:rPr>
      </w:pPr>
      <w:r w:rsidRPr="00886497">
        <w:rPr>
          <w:rFonts w:cstheme="minorHAnsi"/>
          <w:b/>
          <w:sz w:val="24"/>
          <w:szCs w:val="24"/>
        </w:rPr>
        <w:t>National Disability Data Asset</w:t>
      </w:r>
      <w:r w:rsidRPr="00886497">
        <w:rPr>
          <w:rFonts w:cstheme="minorHAnsi"/>
          <w:sz w:val="24"/>
          <w:szCs w:val="24"/>
        </w:rPr>
        <w:t xml:space="preserve"> – This 18-month pilot project, a partnership between the Commonwealth and States/Territories, is looking at matching national and state data, focusing on:</w:t>
      </w:r>
    </w:p>
    <w:p w:rsidR="009A10C1" w:rsidRPr="00886497" w:rsidRDefault="009A10C1" w:rsidP="009505D2">
      <w:pPr>
        <w:pStyle w:val="ListParagraph"/>
        <w:numPr>
          <w:ilvl w:val="0"/>
          <w:numId w:val="31"/>
        </w:numPr>
        <w:spacing w:after="0" w:line="240" w:lineRule="auto"/>
        <w:rPr>
          <w:rFonts w:cstheme="minorHAnsi"/>
          <w:sz w:val="24"/>
          <w:szCs w:val="24"/>
        </w:rPr>
      </w:pPr>
      <w:r w:rsidRPr="00886497">
        <w:rPr>
          <w:rFonts w:cstheme="minorHAnsi"/>
          <w:sz w:val="24"/>
          <w:szCs w:val="24"/>
        </w:rPr>
        <w:t>early childhood</w:t>
      </w:r>
    </w:p>
    <w:p w:rsidR="009A10C1" w:rsidRPr="00886497" w:rsidRDefault="009A10C1" w:rsidP="009505D2">
      <w:pPr>
        <w:pStyle w:val="ListParagraph"/>
        <w:numPr>
          <w:ilvl w:val="0"/>
          <w:numId w:val="31"/>
        </w:numPr>
        <w:spacing w:after="0" w:line="240" w:lineRule="auto"/>
        <w:rPr>
          <w:rFonts w:cstheme="minorHAnsi"/>
          <w:sz w:val="24"/>
          <w:szCs w:val="24"/>
        </w:rPr>
      </w:pPr>
      <w:r w:rsidRPr="00886497">
        <w:rPr>
          <w:rFonts w:cstheme="minorHAnsi"/>
          <w:sz w:val="24"/>
          <w:szCs w:val="24"/>
        </w:rPr>
        <w:t>mental health</w:t>
      </w:r>
    </w:p>
    <w:p w:rsidR="009A10C1" w:rsidRPr="00886497" w:rsidRDefault="009A10C1" w:rsidP="009505D2">
      <w:pPr>
        <w:pStyle w:val="ListParagraph"/>
        <w:numPr>
          <w:ilvl w:val="0"/>
          <w:numId w:val="31"/>
        </w:numPr>
        <w:spacing w:after="0" w:line="240" w:lineRule="auto"/>
        <w:rPr>
          <w:rFonts w:cstheme="minorHAnsi"/>
          <w:sz w:val="24"/>
          <w:szCs w:val="24"/>
        </w:rPr>
      </w:pPr>
      <w:r w:rsidRPr="00886497">
        <w:rPr>
          <w:rFonts w:cstheme="minorHAnsi"/>
          <w:sz w:val="24"/>
          <w:szCs w:val="24"/>
        </w:rPr>
        <w:t>pathways from education to employment</w:t>
      </w:r>
    </w:p>
    <w:p w:rsidR="009A10C1" w:rsidRPr="00886497" w:rsidRDefault="009A10C1" w:rsidP="009505D2">
      <w:pPr>
        <w:pStyle w:val="ListParagraph"/>
        <w:numPr>
          <w:ilvl w:val="0"/>
          <w:numId w:val="31"/>
        </w:numPr>
        <w:spacing w:after="0" w:line="240" w:lineRule="auto"/>
        <w:rPr>
          <w:rFonts w:cstheme="minorHAnsi"/>
          <w:sz w:val="24"/>
          <w:szCs w:val="24"/>
        </w:rPr>
      </w:pPr>
      <w:r w:rsidRPr="00886497">
        <w:rPr>
          <w:rFonts w:cstheme="minorHAnsi"/>
          <w:sz w:val="24"/>
          <w:szCs w:val="24"/>
        </w:rPr>
        <w:t>justice system</w:t>
      </w:r>
    </w:p>
    <w:p w:rsidR="009A10C1" w:rsidRPr="00886497" w:rsidRDefault="009A10C1" w:rsidP="009505D2">
      <w:pPr>
        <w:pStyle w:val="ListParagraph"/>
        <w:numPr>
          <w:ilvl w:val="0"/>
          <w:numId w:val="31"/>
        </w:numPr>
        <w:spacing w:after="0" w:line="240" w:lineRule="auto"/>
        <w:rPr>
          <w:rFonts w:cstheme="minorHAnsi"/>
          <w:sz w:val="24"/>
          <w:szCs w:val="24"/>
        </w:rPr>
      </w:pPr>
      <w:r w:rsidRPr="00886497">
        <w:rPr>
          <w:rFonts w:cstheme="minorHAnsi"/>
          <w:sz w:val="24"/>
          <w:szCs w:val="24"/>
        </w:rPr>
        <w:t xml:space="preserve">mapping the larger service system. </w:t>
      </w:r>
    </w:p>
    <w:p w:rsidR="009A10C1" w:rsidRPr="0045288F" w:rsidRDefault="009A10C1" w:rsidP="009505D2">
      <w:pPr>
        <w:pStyle w:val="ListParagraph"/>
        <w:numPr>
          <w:ilvl w:val="0"/>
          <w:numId w:val="31"/>
        </w:numPr>
        <w:spacing w:after="0" w:line="240" w:lineRule="auto"/>
        <w:rPr>
          <w:rFonts w:cstheme="minorHAnsi"/>
          <w:sz w:val="24"/>
          <w:szCs w:val="24"/>
        </w:rPr>
      </w:pPr>
      <w:r w:rsidRPr="0045288F">
        <w:rPr>
          <w:rFonts w:cstheme="minorHAnsi"/>
          <w:sz w:val="24"/>
          <w:szCs w:val="24"/>
        </w:rPr>
        <w:t>Results will drive future analysis of outcomes, service gaps/data improvements.</w:t>
      </w:r>
    </w:p>
    <w:p w:rsidR="009A10C1" w:rsidRPr="0098142C" w:rsidRDefault="009A10C1" w:rsidP="0045288F">
      <w:pPr>
        <w:spacing w:after="0" w:line="240" w:lineRule="auto"/>
        <w:rPr>
          <w:rFonts w:cstheme="minorHAnsi"/>
          <w:sz w:val="16"/>
          <w:szCs w:val="16"/>
          <w:highlight w:val="cyan"/>
        </w:rPr>
      </w:pPr>
    </w:p>
    <w:p w:rsidR="0076041F" w:rsidRDefault="009A10C1" w:rsidP="009505D2">
      <w:pPr>
        <w:pStyle w:val="ListParagraph"/>
        <w:numPr>
          <w:ilvl w:val="0"/>
          <w:numId w:val="28"/>
        </w:numPr>
        <w:rPr>
          <w:sz w:val="24"/>
          <w:szCs w:val="24"/>
        </w:rPr>
      </w:pPr>
      <w:r w:rsidRPr="0098142C">
        <w:rPr>
          <w:rFonts w:cstheme="minorHAnsi"/>
          <w:b/>
          <w:sz w:val="24"/>
          <w:szCs w:val="24"/>
        </w:rPr>
        <w:t xml:space="preserve">National Disability Agreement </w:t>
      </w:r>
      <w:r w:rsidRPr="0098142C">
        <w:rPr>
          <w:rFonts w:cstheme="minorHAnsi"/>
          <w:sz w:val="24"/>
          <w:szCs w:val="24"/>
        </w:rPr>
        <w:t>– In 2009, COAG agreed on the National Disability Agreement (NDA) between the Commonwealth and State/Territory Governments. Along with the Strategy and the introduction of the NDIS, the NDA is a mechanism for defining the roles and responsibilities of the States/Territories and Commonwealth Government in providing income support, employment services, and specialist disability services to people with disability. The stated objective of the NDA is ‘People with disability and their carers have an enhanced quality of life and participate as valued members of the community’.</w:t>
      </w:r>
      <w:r w:rsidRPr="00886497">
        <w:rPr>
          <w:rStyle w:val="FootnoteReference"/>
          <w:rFonts w:cstheme="minorHAnsi"/>
          <w:sz w:val="24"/>
          <w:szCs w:val="24"/>
        </w:rPr>
        <w:footnoteReference w:id="8"/>
      </w:r>
      <w:r w:rsidRPr="0098142C">
        <w:rPr>
          <w:rFonts w:cstheme="minorHAnsi"/>
          <w:sz w:val="24"/>
          <w:szCs w:val="24"/>
        </w:rPr>
        <w:t xml:space="preserve"> </w:t>
      </w:r>
      <w:r w:rsidR="0076041F" w:rsidRPr="0098142C">
        <w:rPr>
          <w:sz w:val="24"/>
          <w:szCs w:val="24"/>
        </w:rPr>
        <w:t>In addition, the National Disability Agreement</w:t>
      </w:r>
      <w:r w:rsidR="0076041F">
        <w:rPr>
          <w:rStyle w:val="FootnoteReference"/>
          <w:sz w:val="24"/>
          <w:szCs w:val="24"/>
        </w:rPr>
        <w:footnoteReference w:id="9"/>
      </w:r>
      <w:r w:rsidR="0076041F" w:rsidRPr="0098142C">
        <w:rPr>
          <w:sz w:val="24"/>
          <w:szCs w:val="24"/>
        </w:rPr>
        <w:t xml:space="preserve"> includes the following </w:t>
      </w:r>
      <w:r w:rsidR="00691720">
        <w:rPr>
          <w:sz w:val="24"/>
          <w:szCs w:val="24"/>
        </w:rPr>
        <w:t xml:space="preserve">eight </w:t>
      </w:r>
      <w:r w:rsidR="0076041F" w:rsidRPr="0098142C">
        <w:rPr>
          <w:sz w:val="24"/>
          <w:szCs w:val="24"/>
        </w:rPr>
        <w:t>outcomes indicators:</w:t>
      </w:r>
    </w:p>
    <w:p w:rsidR="005440E3" w:rsidRDefault="005440E3" w:rsidP="009505D2">
      <w:pPr>
        <w:pStyle w:val="ListParagraph"/>
        <w:numPr>
          <w:ilvl w:val="1"/>
          <w:numId w:val="28"/>
        </w:numPr>
        <w:rPr>
          <w:sz w:val="24"/>
          <w:szCs w:val="24"/>
        </w:rPr>
      </w:pPr>
      <w:r>
        <w:rPr>
          <w:sz w:val="24"/>
          <w:szCs w:val="24"/>
        </w:rPr>
        <w:t>Proportion of people with disability participating in the labour force</w:t>
      </w:r>
    </w:p>
    <w:p w:rsidR="005440E3" w:rsidRDefault="005440E3" w:rsidP="009505D2">
      <w:pPr>
        <w:pStyle w:val="ListParagraph"/>
        <w:numPr>
          <w:ilvl w:val="1"/>
          <w:numId w:val="28"/>
        </w:numPr>
        <w:rPr>
          <w:sz w:val="24"/>
          <w:szCs w:val="24"/>
        </w:rPr>
      </w:pPr>
      <w:r>
        <w:rPr>
          <w:sz w:val="24"/>
          <w:szCs w:val="24"/>
        </w:rPr>
        <w:t>Proportion of people with disability who participate in social and community activities</w:t>
      </w:r>
    </w:p>
    <w:p w:rsidR="005440E3" w:rsidRDefault="005440E3" w:rsidP="009505D2">
      <w:pPr>
        <w:pStyle w:val="ListParagraph"/>
        <w:numPr>
          <w:ilvl w:val="1"/>
          <w:numId w:val="28"/>
        </w:numPr>
        <w:rPr>
          <w:sz w:val="24"/>
          <w:szCs w:val="24"/>
        </w:rPr>
      </w:pPr>
      <w:r>
        <w:rPr>
          <w:sz w:val="24"/>
          <w:szCs w:val="24"/>
        </w:rPr>
        <w:t>Proportion of income recipients with disability who report earnings</w:t>
      </w:r>
    </w:p>
    <w:p w:rsidR="005440E3" w:rsidRDefault="005440E3" w:rsidP="009505D2">
      <w:pPr>
        <w:pStyle w:val="ListParagraph"/>
        <w:numPr>
          <w:ilvl w:val="1"/>
          <w:numId w:val="28"/>
        </w:numPr>
        <w:rPr>
          <w:sz w:val="24"/>
          <w:szCs w:val="24"/>
        </w:rPr>
      </w:pPr>
      <w:r>
        <w:rPr>
          <w:sz w:val="24"/>
          <w:szCs w:val="24"/>
        </w:rPr>
        <w:t>Proportion of younger people entering,</w:t>
      </w:r>
      <w:r w:rsidR="00F94BE0">
        <w:rPr>
          <w:sz w:val="24"/>
          <w:szCs w:val="24"/>
        </w:rPr>
        <w:t xml:space="preserve"> living in, and exiting, perman</w:t>
      </w:r>
      <w:r>
        <w:rPr>
          <w:sz w:val="24"/>
          <w:szCs w:val="24"/>
        </w:rPr>
        <w:t>ent residential aged care</w:t>
      </w:r>
    </w:p>
    <w:p w:rsidR="00F94BE0" w:rsidRDefault="00F94BE0" w:rsidP="009505D2">
      <w:pPr>
        <w:pStyle w:val="ListParagraph"/>
        <w:numPr>
          <w:ilvl w:val="1"/>
          <w:numId w:val="28"/>
        </w:numPr>
        <w:rPr>
          <w:sz w:val="24"/>
          <w:szCs w:val="24"/>
        </w:rPr>
      </w:pPr>
      <w:r>
        <w:rPr>
          <w:sz w:val="24"/>
          <w:szCs w:val="24"/>
        </w:rPr>
        <w:t>Proportion of carers of people with disability who report their health and wellbeing as positive</w:t>
      </w:r>
    </w:p>
    <w:p w:rsidR="000E2D28" w:rsidRDefault="00F94BE0" w:rsidP="009505D2">
      <w:pPr>
        <w:pStyle w:val="ListParagraph"/>
        <w:numPr>
          <w:ilvl w:val="1"/>
          <w:numId w:val="28"/>
        </w:numPr>
        <w:rPr>
          <w:sz w:val="24"/>
          <w:szCs w:val="24"/>
        </w:rPr>
      </w:pPr>
      <w:r>
        <w:rPr>
          <w:sz w:val="24"/>
          <w:szCs w:val="24"/>
        </w:rPr>
        <w:t xml:space="preserve">Proportion of carers of people with disability who are satisfied with the range of services </w:t>
      </w:r>
      <w:r w:rsidR="00D474FA">
        <w:rPr>
          <w:sz w:val="24"/>
          <w:szCs w:val="24"/>
        </w:rPr>
        <w:t>available, and with the adequacy and quality of services provided to the person with disability and the carer</w:t>
      </w:r>
    </w:p>
    <w:p w:rsidR="00D474FA" w:rsidRPr="00D474FA" w:rsidRDefault="00D474FA" w:rsidP="00D474FA">
      <w:pPr>
        <w:pStyle w:val="ListParagraph"/>
        <w:ind w:left="1080"/>
        <w:rPr>
          <w:sz w:val="24"/>
          <w:szCs w:val="24"/>
        </w:rPr>
      </w:pPr>
    </w:p>
    <w:p w:rsidR="002E302B" w:rsidRPr="0098142C" w:rsidRDefault="002E302B" w:rsidP="009505D2">
      <w:pPr>
        <w:pStyle w:val="ListParagraph"/>
        <w:numPr>
          <w:ilvl w:val="0"/>
          <w:numId w:val="28"/>
        </w:numPr>
        <w:spacing w:line="276" w:lineRule="auto"/>
        <w:rPr>
          <w:rFonts w:cstheme="minorHAnsi"/>
          <w:sz w:val="24"/>
          <w:szCs w:val="24"/>
        </w:rPr>
      </w:pPr>
      <w:r w:rsidRPr="0098142C">
        <w:rPr>
          <w:rFonts w:cstheme="minorHAnsi"/>
          <w:b/>
          <w:sz w:val="24"/>
          <w:szCs w:val="24"/>
        </w:rPr>
        <w:t xml:space="preserve">Productivity Commission’s </w:t>
      </w:r>
      <w:r w:rsidRPr="0098142C">
        <w:rPr>
          <w:rFonts w:cstheme="minorHAnsi"/>
          <w:b/>
          <w:i/>
          <w:sz w:val="24"/>
          <w:szCs w:val="24"/>
        </w:rPr>
        <w:t>Review of the National Disability Agreement</w:t>
      </w:r>
      <w:r w:rsidRPr="0098142C">
        <w:rPr>
          <w:sz w:val="24"/>
          <w:szCs w:val="24"/>
          <w:lang w:val="en"/>
        </w:rPr>
        <w:t xml:space="preserve"> </w:t>
      </w:r>
      <w:r>
        <w:rPr>
          <w:sz w:val="24"/>
          <w:szCs w:val="24"/>
          <w:lang w:val="en"/>
        </w:rPr>
        <w:t xml:space="preserve">- </w:t>
      </w:r>
      <w:r w:rsidRPr="0098142C">
        <w:rPr>
          <w:sz w:val="24"/>
          <w:szCs w:val="24"/>
          <w:lang w:val="en"/>
        </w:rPr>
        <w:t>Productivity Commission’s report from its review of the NDA (January 2019) identified that ‘the current NDA has fallen out of date and does not reflect contemporary policy settings. As a result, it is a weak driver of disability policy and reform actions. Government action has been primarily motivated by the National Disability Strategy’.</w:t>
      </w:r>
      <w:r w:rsidRPr="00886497">
        <w:rPr>
          <w:rStyle w:val="FootnoteReference"/>
          <w:sz w:val="24"/>
          <w:szCs w:val="24"/>
          <w:lang w:val="en"/>
        </w:rPr>
        <w:footnoteReference w:id="10"/>
      </w:r>
      <w:r w:rsidRPr="0098142C">
        <w:rPr>
          <w:sz w:val="24"/>
          <w:szCs w:val="24"/>
          <w:lang w:val="en"/>
        </w:rPr>
        <w:t xml:space="preserve"> </w:t>
      </w:r>
      <w:r w:rsidRPr="0098142C">
        <w:rPr>
          <w:rFonts w:cstheme="minorHAnsi"/>
          <w:sz w:val="24"/>
          <w:szCs w:val="24"/>
        </w:rPr>
        <w:t>To address this, the Productivity Commission</w:t>
      </w:r>
      <w:r w:rsidRPr="0098142C">
        <w:rPr>
          <w:rFonts w:cstheme="minorHAnsi"/>
          <w:i/>
          <w:sz w:val="24"/>
          <w:szCs w:val="24"/>
        </w:rPr>
        <w:t xml:space="preserve"> r</w:t>
      </w:r>
      <w:r w:rsidRPr="0098142C">
        <w:rPr>
          <w:rFonts w:cstheme="minorHAnsi"/>
          <w:sz w:val="24"/>
          <w:szCs w:val="24"/>
        </w:rPr>
        <w:t>ecommended:</w:t>
      </w:r>
    </w:p>
    <w:p w:rsidR="002E302B" w:rsidRPr="00886497" w:rsidRDefault="002E302B" w:rsidP="009505D2">
      <w:pPr>
        <w:pStyle w:val="ListParagraph"/>
        <w:numPr>
          <w:ilvl w:val="0"/>
          <w:numId w:val="29"/>
        </w:numPr>
        <w:spacing w:line="276" w:lineRule="auto"/>
        <w:rPr>
          <w:spacing w:val="7"/>
          <w:sz w:val="24"/>
          <w:szCs w:val="24"/>
          <w:lang w:val="en"/>
        </w:rPr>
      </w:pPr>
      <w:r w:rsidRPr="00886497">
        <w:rPr>
          <w:rFonts w:cstheme="minorHAnsi"/>
          <w:sz w:val="24"/>
          <w:szCs w:val="24"/>
        </w:rPr>
        <w:lastRenderedPageBreak/>
        <w:t>the development of a new NDA</w:t>
      </w:r>
      <w:r w:rsidRPr="00886497">
        <w:rPr>
          <w:spacing w:val="7"/>
          <w:sz w:val="24"/>
          <w:szCs w:val="24"/>
          <w:lang w:val="en"/>
        </w:rPr>
        <w:t xml:space="preserve"> between the Australian, State and Territory Governments to facilitate cooperation, enhance accountability and clarify roles and responsibilities</w:t>
      </w:r>
    </w:p>
    <w:p w:rsidR="002E302B" w:rsidRPr="00886497" w:rsidRDefault="002E302B" w:rsidP="009505D2">
      <w:pPr>
        <w:pStyle w:val="ListParagraph"/>
        <w:numPr>
          <w:ilvl w:val="0"/>
          <w:numId w:val="29"/>
        </w:numPr>
        <w:spacing w:line="276" w:lineRule="auto"/>
        <w:rPr>
          <w:spacing w:val="7"/>
          <w:sz w:val="24"/>
          <w:szCs w:val="24"/>
          <w:lang w:val="en"/>
        </w:rPr>
      </w:pPr>
      <w:r w:rsidRPr="00886497">
        <w:rPr>
          <w:spacing w:val="7"/>
          <w:sz w:val="24"/>
          <w:szCs w:val="24"/>
          <w:lang w:val="en"/>
        </w:rPr>
        <w:t>the NDA should become the overarching agreement for disability policy in Australia</w:t>
      </w:r>
    </w:p>
    <w:p w:rsidR="002E302B" w:rsidRPr="00886497" w:rsidRDefault="002E302B" w:rsidP="009505D2">
      <w:pPr>
        <w:pStyle w:val="ListParagraph"/>
        <w:numPr>
          <w:ilvl w:val="0"/>
          <w:numId w:val="29"/>
        </w:numPr>
        <w:spacing w:line="276" w:lineRule="auto"/>
        <w:rPr>
          <w:spacing w:val="7"/>
          <w:sz w:val="24"/>
          <w:szCs w:val="24"/>
          <w:lang w:val="en"/>
        </w:rPr>
      </w:pPr>
      <w:r w:rsidRPr="00886497">
        <w:rPr>
          <w:spacing w:val="7"/>
          <w:sz w:val="24"/>
          <w:szCs w:val="24"/>
          <w:lang w:val="en"/>
        </w:rPr>
        <w:t>the NDA should link explicitly to the Strategy and the NDIS</w:t>
      </w:r>
    </w:p>
    <w:p w:rsidR="002E302B" w:rsidRPr="00886497" w:rsidRDefault="002E302B" w:rsidP="009505D2">
      <w:pPr>
        <w:pStyle w:val="ListParagraph"/>
        <w:numPr>
          <w:ilvl w:val="0"/>
          <w:numId w:val="29"/>
        </w:numPr>
        <w:spacing w:line="276" w:lineRule="auto"/>
        <w:rPr>
          <w:sz w:val="24"/>
          <w:szCs w:val="24"/>
        </w:rPr>
      </w:pPr>
      <w:r w:rsidRPr="00886497">
        <w:rPr>
          <w:sz w:val="24"/>
          <w:szCs w:val="24"/>
        </w:rPr>
        <w:t xml:space="preserve">the Strategy should become a schedule to the NDA </w:t>
      </w:r>
    </w:p>
    <w:p w:rsidR="002E302B" w:rsidRPr="00886497" w:rsidRDefault="002E302B" w:rsidP="009505D2">
      <w:pPr>
        <w:pStyle w:val="ListParagraph"/>
        <w:numPr>
          <w:ilvl w:val="0"/>
          <w:numId w:val="29"/>
        </w:numPr>
        <w:spacing w:line="276" w:lineRule="auto"/>
        <w:rPr>
          <w:sz w:val="24"/>
          <w:szCs w:val="24"/>
        </w:rPr>
      </w:pPr>
      <w:r w:rsidRPr="00886497">
        <w:rPr>
          <w:sz w:val="24"/>
          <w:szCs w:val="24"/>
        </w:rPr>
        <w:t>the new NDA and Strategy should have a common set of measurable outcomes.</w:t>
      </w:r>
      <w:r w:rsidRPr="00886497">
        <w:rPr>
          <w:rStyle w:val="FootnoteReference"/>
          <w:sz w:val="24"/>
          <w:szCs w:val="24"/>
        </w:rPr>
        <w:footnoteReference w:id="11"/>
      </w:r>
      <w:r w:rsidRPr="00886497">
        <w:rPr>
          <w:sz w:val="24"/>
          <w:szCs w:val="24"/>
        </w:rPr>
        <w:t xml:space="preserve"> </w:t>
      </w:r>
    </w:p>
    <w:p w:rsidR="002E302B" w:rsidRDefault="002E302B" w:rsidP="002E302B">
      <w:pPr>
        <w:spacing w:after="0" w:line="276" w:lineRule="auto"/>
        <w:rPr>
          <w:sz w:val="24"/>
          <w:szCs w:val="24"/>
        </w:rPr>
      </w:pPr>
      <w:r w:rsidRPr="00AC74ED">
        <w:rPr>
          <w:sz w:val="24"/>
          <w:szCs w:val="24"/>
        </w:rPr>
        <w:t>The report was provided to the Commonwealth Government in January 2019. To date, there has not been a response to the report.</w:t>
      </w:r>
      <w:r w:rsidRPr="00886497">
        <w:rPr>
          <w:rStyle w:val="FootnoteReference"/>
          <w:sz w:val="24"/>
          <w:szCs w:val="24"/>
        </w:rPr>
        <w:footnoteReference w:id="12"/>
      </w:r>
      <w:r w:rsidRPr="00AC74ED">
        <w:rPr>
          <w:sz w:val="24"/>
          <w:szCs w:val="24"/>
        </w:rPr>
        <w:t xml:space="preserve">  </w:t>
      </w:r>
    </w:p>
    <w:p w:rsidR="002E302B" w:rsidRPr="00AC74ED" w:rsidRDefault="002E302B" w:rsidP="002E302B">
      <w:pPr>
        <w:spacing w:after="0" w:line="276" w:lineRule="auto"/>
        <w:rPr>
          <w:sz w:val="24"/>
          <w:szCs w:val="24"/>
        </w:rPr>
      </w:pPr>
    </w:p>
    <w:p w:rsidR="00421BF1" w:rsidRDefault="002E302B" w:rsidP="009505D2">
      <w:pPr>
        <w:spacing w:after="0" w:line="240" w:lineRule="auto"/>
        <w:rPr>
          <w:sz w:val="24"/>
          <w:szCs w:val="24"/>
        </w:rPr>
      </w:pPr>
      <w:r w:rsidRPr="00AC74ED">
        <w:rPr>
          <w:sz w:val="24"/>
          <w:szCs w:val="24"/>
        </w:rPr>
        <w:t>The Productivity Commission maintains a ‘Performance Dashboard’</w:t>
      </w:r>
      <w:r w:rsidRPr="00AC74ED">
        <w:rPr>
          <w:rStyle w:val="FootnoteReference"/>
          <w:b/>
          <w:sz w:val="24"/>
          <w:szCs w:val="24"/>
        </w:rPr>
        <w:footnoteReference w:id="13"/>
      </w:r>
      <w:r w:rsidRPr="00AC74ED">
        <w:rPr>
          <w:sz w:val="24"/>
          <w:szCs w:val="24"/>
        </w:rPr>
        <w:t xml:space="preserve"> that provides a source of information on progress towards the Council of Australian Government’s (COAG) key commitments, including </w:t>
      </w:r>
      <w:r w:rsidR="00DB4FF8">
        <w:rPr>
          <w:sz w:val="24"/>
          <w:szCs w:val="24"/>
        </w:rPr>
        <w:t>the</w:t>
      </w:r>
      <w:r w:rsidR="00DB4FF8" w:rsidRPr="00AC74ED">
        <w:rPr>
          <w:sz w:val="24"/>
          <w:szCs w:val="24"/>
        </w:rPr>
        <w:t xml:space="preserve"> </w:t>
      </w:r>
      <w:r w:rsidRPr="00AC74ED">
        <w:rPr>
          <w:sz w:val="24"/>
          <w:szCs w:val="24"/>
        </w:rPr>
        <w:t>National Disability Strategy</w:t>
      </w:r>
      <w:r w:rsidR="00DB4FF8">
        <w:rPr>
          <w:sz w:val="24"/>
          <w:szCs w:val="24"/>
        </w:rPr>
        <w:t xml:space="preserve"> which</w:t>
      </w:r>
      <w:r w:rsidR="00702A61">
        <w:rPr>
          <w:sz w:val="24"/>
          <w:szCs w:val="24"/>
        </w:rPr>
        <w:t xml:space="preserve"> has the following three d</w:t>
      </w:r>
      <w:r w:rsidRPr="00AC74ED">
        <w:rPr>
          <w:sz w:val="24"/>
          <w:szCs w:val="24"/>
        </w:rPr>
        <w:t>isability Indicators on the</w:t>
      </w:r>
      <w:r w:rsidR="00702A61">
        <w:rPr>
          <w:sz w:val="24"/>
          <w:szCs w:val="24"/>
        </w:rPr>
        <w:t>ir</w:t>
      </w:r>
      <w:r w:rsidRPr="00AC74ED">
        <w:rPr>
          <w:sz w:val="24"/>
          <w:szCs w:val="24"/>
        </w:rPr>
        <w:t xml:space="preserve"> dashboard:</w:t>
      </w:r>
    </w:p>
    <w:p w:rsidR="00421BF1" w:rsidRPr="009505D2" w:rsidRDefault="006C1EBE" w:rsidP="009505D2">
      <w:pPr>
        <w:pStyle w:val="ListParagraph"/>
        <w:numPr>
          <w:ilvl w:val="0"/>
          <w:numId w:val="38"/>
        </w:numPr>
        <w:spacing w:after="0" w:line="240" w:lineRule="auto"/>
        <w:rPr>
          <w:sz w:val="24"/>
          <w:szCs w:val="24"/>
        </w:rPr>
      </w:pPr>
      <w:r w:rsidRPr="00421BF1">
        <w:rPr>
          <w:sz w:val="24"/>
          <w:szCs w:val="24"/>
        </w:rPr>
        <w:t>Labour force participation</w:t>
      </w:r>
      <w:r w:rsidR="00421BF1">
        <w:rPr>
          <w:sz w:val="24"/>
          <w:szCs w:val="24"/>
        </w:rPr>
        <w:t xml:space="preserve"> </w:t>
      </w:r>
      <w:r w:rsidR="00421BF1" w:rsidRPr="00421BF1">
        <w:rPr>
          <w:sz w:val="24"/>
          <w:szCs w:val="24"/>
        </w:rPr>
        <w:t xml:space="preserve">- </w:t>
      </w:r>
      <w:r w:rsidR="00421BF1" w:rsidRPr="009505D2">
        <w:rPr>
          <w:sz w:val="24"/>
          <w:szCs w:val="24"/>
        </w:rPr>
        <w:t xml:space="preserve"> NSW is noted to have made ‘no improvements’ in this area</w:t>
      </w:r>
    </w:p>
    <w:p w:rsidR="00421BF1" w:rsidRPr="009505D2" w:rsidRDefault="006C1EBE" w:rsidP="009505D2">
      <w:pPr>
        <w:pStyle w:val="ListParagraph"/>
        <w:numPr>
          <w:ilvl w:val="0"/>
          <w:numId w:val="38"/>
        </w:numPr>
        <w:spacing w:after="0" w:line="240" w:lineRule="auto"/>
        <w:rPr>
          <w:sz w:val="24"/>
          <w:szCs w:val="24"/>
        </w:rPr>
      </w:pPr>
      <w:r w:rsidRPr="00421BF1">
        <w:rPr>
          <w:sz w:val="24"/>
          <w:szCs w:val="24"/>
        </w:rPr>
        <w:t>Need for formal assistance</w:t>
      </w:r>
      <w:r w:rsidR="00421BF1" w:rsidRPr="009505D2">
        <w:rPr>
          <w:sz w:val="24"/>
          <w:szCs w:val="24"/>
        </w:rPr>
        <w:t xml:space="preserve"> - NSW is noted to have made ‘no improvements’ in this area</w:t>
      </w:r>
    </w:p>
    <w:p w:rsidR="00421BF1" w:rsidRPr="009505D2" w:rsidRDefault="006C1EBE" w:rsidP="009505D2">
      <w:pPr>
        <w:pStyle w:val="ListParagraph"/>
        <w:numPr>
          <w:ilvl w:val="0"/>
          <w:numId w:val="38"/>
        </w:numPr>
        <w:spacing w:after="0" w:line="240" w:lineRule="auto"/>
        <w:rPr>
          <w:sz w:val="24"/>
          <w:szCs w:val="24"/>
        </w:rPr>
      </w:pPr>
      <w:r w:rsidRPr="00421BF1">
        <w:rPr>
          <w:sz w:val="24"/>
          <w:szCs w:val="24"/>
        </w:rPr>
        <w:t>Participation in social and community activities</w:t>
      </w:r>
      <w:r w:rsidR="00421BF1" w:rsidRPr="009505D2">
        <w:rPr>
          <w:sz w:val="24"/>
          <w:szCs w:val="24"/>
        </w:rPr>
        <w:t xml:space="preserve"> - NSW is noted to have made ‘negative change’ in this area</w:t>
      </w:r>
    </w:p>
    <w:p w:rsidR="0045288F" w:rsidRDefault="0045288F" w:rsidP="009505D2">
      <w:pPr>
        <w:pStyle w:val="BodyText"/>
        <w:numPr>
          <w:ilvl w:val="0"/>
          <w:numId w:val="28"/>
        </w:numPr>
        <w:jc w:val="left"/>
        <w:rPr>
          <w:rFonts w:ascii="Arial Black" w:hAnsi="Arial Black"/>
          <w:caps/>
          <w:color w:val="002060"/>
          <w:szCs w:val="24"/>
        </w:rPr>
      </w:pPr>
      <w:r w:rsidRPr="0045288F">
        <w:rPr>
          <w:rFonts w:asciiTheme="minorHAnsi" w:hAnsiTheme="minorHAnsi"/>
          <w:b/>
        </w:rPr>
        <w:t>Australian Bureau of Statistics (ABS)</w:t>
      </w:r>
      <w:r>
        <w:rPr>
          <w:rFonts w:asciiTheme="minorHAnsi" w:hAnsiTheme="minorHAnsi"/>
        </w:rPr>
        <w:t xml:space="preserve"> - Other ABS NSW disability indicators that that measure progress against the Strategy focus areas also include:</w:t>
      </w:r>
    </w:p>
    <w:p w:rsidR="00DB4FF8" w:rsidRDefault="00DB4FF8" w:rsidP="0045288F">
      <w:pPr>
        <w:pStyle w:val="BodyText"/>
        <w:spacing w:before="0" w:line="240" w:lineRule="auto"/>
        <w:rPr>
          <w:rFonts w:asciiTheme="minorHAnsi" w:hAnsiTheme="minorHAnsi" w:cstheme="minorHAnsi"/>
        </w:rPr>
      </w:pPr>
    </w:p>
    <w:tbl>
      <w:tblPr>
        <w:tblStyle w:val="TableGrid"/>
        <w:tblW w:w="0" w:type="auto"/>
        <w:tblLook w:val="04A0" w:firstRow="1" w:lastRow="0" w:firstColumn="1" w:lastColumn="0" w:noHBand="0" w:noVBand="1"/>
        <w:tblCaption w:val="Australian Bureau of Statistics Surveys"/>
        <w:tblDescription w:val="Table includes name of survey and what disability indicators are identified i the survey"/>
      </w:tblPr>
      <w:tblGrid>
        <w:gridCol w:w="3256"/>
        <w:gridCol w:w="6938"/>
      </w:tblGrid>
      <w:tr w:rsidR="009004B9" w:rsidRPr="006F1FCC" w:rsidTr="00421BF1">
        <w:trPr>
          <w:tblHeader/>
        </w:trPr>
        <w:tc>
          <w:tcPr>
            <w:tcW w:w="3256" w:type="dxa"/>
            <w:shd w:val="clear" w:color="auto" w:fill="002060"/>
          </w:tcPr>
          <w:p w:rsidR="009004B9" w:rsidRPr="006F1FCC" w:rsidRDefault="009004B9" w:rsidP="0045288F">
            <w:pPr>
              <w:pStyle w:val="BodyText"/>
              <w:spacing w:before="0" w:line="240" w:lineRule="auto"/>
              <w:rPr>
                <w:rFonts w:asciiTheme="minorHAnsi" w:hAnsiTheme="minorHAnsi" w:cstheme="minorHAnsi"/>
                <w:b/>
                <w:sz w:val="20"/>
              </w:rPr>
            </w:pPr>
            <w:r>
              <w:rPr>
                <w:rFonts w:asciiTheme="minorHAnsi" w:hAnsiTheme="minorHAnsi" w:cstheme="minorHAnsi"/>
                <w:b/>
                <w:sz w:val="20"/>
              </w:rPr>
              <w:t>Name of survey</w:t>
            </w:r>
          </w:p>
        </w:tc>
        <w:tc>
          <w:tcPr>
            <w:tcW w:w="6938" w:type="dxa"/>
          </w:tcPr>
          <w:p w:rsidR="009004B9" w:rsidRPr="006F1FCC" w:rsidRDefault="009004B9" w:rsidP="009004B9">
            <w:pPr>
              <w:pStyle w:val="BodyText"/>
              <w:spacing w:before="0" w:line="240" w:lineRule="auto"/>
              <w:ind w:left="360"/>
              <w:rPr>
                <w:rFonts w:asciiTheme="minorHAnsi" w:hAnsiTheme="minorHAnsi" w:cstheme="minorHAnsi"/>
                <w:sz w:val="20"/>
              </w:rPr>
            </w:pPr>
            <w:r>
              <w:rPr>
                <w:rFonts w:asciiTheme="minorHAnsi" w:hAnsiTheme="minorHAnsi" w:cstheme="minorHAnsi"/>
                <w:sz w:val="20"/>
              </w:rPr>
              <w:t>Disability indicators identified in survey</w:t>
            </w:r>
          </w:p>
        </w:tc>
      </w:tr>
      <w:tr w:rsidR="006F1FCC" w:rsidRPr="006F1FCC" w:rsidTr="00421BF1">
        <w:tc>
          <w:tcPr>
            <w:tcW w:w="3256" w:type="dxa"/>
            <w:shd w:val="clear" w:color="auto" w:fill="002060"/>
          </w:tcPr>
          <w:p w:rsidR="006F1FCC" w:rsidRPr="006F1FCC" w:rsidRDefault="006F1FCC" w:rsidP="0045288F">
            <w:pPr>
              <w:pStyle w:val="BodyText"/>
              <w:spacing w:before="0" w:line="240" w:lineRule="auto"/>
              <w:rPr>
                <w:rFonts w:asciiTheme="minorHAnsi" w:hAnsiTheme="minorHAnsi" w:cstheme="minorHAnsi"/>
                <w:b/>
                <w:sz w:val="20"/>
              </w:rPr>
            </w:pPr>
            <w:r w:rsidRPr="006F1FCC">
              <w:rPr>
                <w:rFonts w:asciiTheme="minorHAnsi" w:hAnsiTheme="minorHAnsi" w:cstheme="minorHAnsi"/>
                <w:b/>
                <w:sz w:val="20"/>
              </w:rPr>
              <w:t>ABS General Social Survey</w:t>
            </w:r>
            <w:r w:rsidR="00A338F9">
              <w:rPr>
                <w:rStyle w:val="FootnoteReference"/>
                <w:rFonts w:asciiTheme="minorHAnsi" w:hAnsiTheme="minorHAnsi" w:cstheme="minorHAnsi"/>
                <w:b/>
                <w:sz w:val="20"/>
              </w:rPr>
              <w:footnoteReference w:id="14"/>
            </w:r>
          </w:p>
        </w:tc>
        <w:tc>
          <w:tcPr>
            <w:tcW w:w="6938" w:type="dxa"/>
          </w:tcPr>
          <w:p w:rsidR="006F1FCC" w:rsidRPr="006F1FCC" w:rsidRDefault="006F1FCC" w:rsidP="009505D2">
            <w:pPr>
              <w:pStyle w:val="BodyText"/>
              <w:numPr>
                <w:ilvl w:val="0"/>
                <w:numId w:val="28"/>
              </w:numPr>
              <w:spacing w:before="0" w:line="240" w:lineRule="auto"/>
              <w:rPr>
                <w:rFonts w:asciiTheme="minorHAnsi" w:hAnsiTheme="minorHAnsi" w:cstheme="minorHAnsi"/>
                <w:sz w:val="20"/>
              </w:rPr>
            </w:pPr>
            <w:r w:rsidRPr="006F1FCC">
              <w:rPr>
                <w:rFonts w:asciiTheme="minorHAnsi" w:hAnsiTheme="minorHAnsi" w:cstheme="minorHAnsi"/>
                <w:sz w:val="20"/>
              </w:rPr>
              <w:t>Disability demographic information</w:t>
            </w:r>
          </w:p>
          <w:p w:rsidR="006F1FCC" w:rsidRPr="006F1FCC" w:rsidRDefault="006F1FCC" w:rsidP="009505D2">
            <w:pPr>
              <w:pStyle w:val="BodyText"/>
              <w:numPr>
                <w:ilvl w:val="0"/>
                <w:numId w:val="28"/>
              </w:numPr>
              <w:spacing w:before="0" w:line="240" w:lineRule="auto"/>
              <w:rPr>
                <w:rFonts w:asciiTheme="minorHAnsi" w:hAnsiTheme="minorHAnsi" w:cstheme="minorHAnsi"/>
                <w:sz w:val="20"/>
              </w:rPr>
            </w:pPr>
            <w:r w:rsidRPr="006F1FCC">
              <w:rPr>
                <w:rFonts w:asciiTheme="minorHAnsi" w:hAnsiTheme="minorHAnsi" w:cstheme="minorHAnsi"/>
                <w:sz w:val="20"/>
              </w:rPr>
              <w:t>Experiencing discrimination on the basis of disability</w:t>
            </w:r>
          </w:p>
          <w:p w:rsidR="006F1FCC" w:rsidRPr="006F1FCC" w:rsidRDefault="006F1FCC" w:rsidP="0045288F">
            <w:pPr>
              <w:pStyle w:val="BodyText"/>
              <w:spacing w:before="0" w:line="240" w:lineRule="auto"/>
              <w:rPr>
                <w:rFonts w:asciiTheme="minorHAnsi" w:hAnsiTheme="minorHAnsi" w:cstheme="minorHAnsi"/>
                <w:sz w:val="20"/>
              </w:rPr>
            </w:pPr>
          </w:p>
        </w:tc>
      </w:tr>
      <w:tr w:rsidR="006F1FCC" w:rsidRPr="006F1FCC" w:rsidTr="00421BF1">
        <w:tc>
          <w:tcPr>
            <w:tcW w:w="3256" w:type="dxa"/>
            <w:shd w:val="clear" w:color="auto" w:fill="002060"/>
          </w:tcPr>
          <w:p w:rsidR="006F1FCC" w:rsidRPr="006F1FCC" w:rsidRDefault="006F1FCC" w:rsidP="006F1FCC">
            <w:pPr>
              <w:pStyle w:val="BodyText"/>
              <w:spacing w:before="0" w:line="240" w:lineRule="auto"/>
              <w:jc w:val="left"/>
              <w:rPr>
                <w:rFonts w:asciiTheme="minorHAnsi" w:hAnsiTheme="minorHAnsi" w:cstheme="minorHAnsi"/>
                <w:b/>
                <w:sz w:val="20"/>
              </w:rPr>
            </w:pPr>
            <w:r w:rsidRPr="006F1FCC">
              <w:rPr>
                <w:rFonts w:asciiTheme="minorHAnsi" w:hAnsiTheme="minorHAnsi" w:cstheme="minorHAnsi"/>
                <w:b/>
                <w:sz w:val="20"/>
              </w:rPr>
              <w:t>ABS Personal Safety Survey</w:t>
            </w:r>
            <w:r w:rsidR="00A338F9">
              <w:rPr>
                <w:rStyle w:val="FootnoteReference"/>
                <w:rFonts w:asciiTheme="minorHAnsi" w:hAnsiTheme="minorHAnsi" w:cstheme="minorHAnsi"/>
                <w:b/>
                <w:sz w:val="20"/>
              </w:rPr>
              <w:footnoteReference w:id="15"/>
            </w:r>
          </w:p>
        </w:tc>
        <w:tc>
          <w:tcPr>
            <w:tcW w:w="6938" w:type="dxa"/>
          </w:tcPr>
          <w:p w:rsidR="006F1FCC" w:rsidRPr="006F1FCC" w:rsidRDefault="006F1FCC" w:rsidP="009505D2">
            <w:pPr>
              <w:pStyle w:val="BodyText"/>
              <w:numPr>
                <w:ilvl w:val="0"/>
                <w:numId w:val="28"/>
              </w:numPr>
              <w:spacing w:before="0" w:line="240" w:lineRule="auto"/>
              <w:jc w:val="left"/>
              <w:rPr>
                <w:rFonts w:asciiTheme="minorHAnsi" w:hAnsiTheme="minorHAnsi" w:cstheme="minorHAnsi"/>
                <w:sz w:val="20"/>
              </w:rPr>
            </w:pPr>
            <w:r w:rsidRPr="006F1FCC">
              <w:rPr>
                <w:rFonts w:asciiTheme="minorHAnsi" w:hAnsiTheme="minorHAnsi" w:cstheme="minorHAnsi"/>
                <w:sz w:val="20"/>
              </w:rPr>
              <w:t>People with disability who have experienced violence in the last 12 months</w:t>
            </w:r>
          </w:p>
          <w:p w:rsidR="006F1FCC" w:rsidRPr="006F1FCC" w:rsidRDefault="006F1FCC" w:rsidP="006F1FCC">
            <w:pPr>
              <w:pStyle w:val="BodyText"/>
              <w:spacing w:before="0" w:line="240" w:lineRule="auto"/>
              <w:jc w:val="left"/>
              <w:rPr>
                <w:rFonts w:asciiTheme="minorHAnsi" w:hAnsiTheme="minorHAnsi" w:cstheme="minorHAnsi"/>
                <w:sz w:val="20"/>
              </w:rPr>
            </w:pPr>
          </w:p>
        </w:tc>
      </w:tr>
      <w:tr w:rsidR="006F1FCC" w:rsidRPr="006F1FCC" w:rsidTr="00421BF1">
        <w:tc>
          <w:tcPr>
            <w:tcW w:w="3256" w:type="dxa"/>
            <w:shd w:val="clear" w:color="auto" w:fill="002060"/>
          </w:tcPr>
          <w:p w:rsidR="006F1FCC" w:rsidRPr="006F1FCC" w:rsidRDefault="006F1FCC" w:rsidP="0029433B">
            <w:pPr>
              <w:pStyle w:val="BodyText"/>
              <w:spacing w:before="0" w:line="240" w:lineRule="auto"/>
              <w:jc w:val="left"/>
              <w:rPr>
                <w:rFonts w:asciiTheme="minorHAnsi" w:hAnsiTheme="minorHAnsi" w:cstheme="minorHAnsi"/>
                <w:b/>
                <w:sz w:val="20"/>
              </w:rPr>
            </w:pPr>
            <w:r w:rsidRPr="006F1FCC">
              <w:rPr>
                <w:rFonts w:asciiTheme="minorHAnsi" w:hAnsiTheme="minorHAnsi" w:cstheme="minorHAnsi"/>
                <w:b/>
                <w:sz w:val="20"/>
              </w:rPr>
              <w:t>ABS Survey of Disability, Ageing and Carers</w:t>
            </w:r>
            <w:r w:rsidR="00460ED6">
              <w:rPr>
                <w:rStyle w:val="FootnoteReference"/>
                <w:rFonts w:asciiTheme="minorHAnsi" w:hAnsiTheme="minorHAnsi" w:cstheme="minorHAnsi"/>
                <w:b/>
                <w:sz w:val="20"/>
              </w:rPr>
              <w:footnoteReference w:id="16"/>
            </w:r>
            <w:r w:rsidRPr="006F1FCC">
              <w:rPr>
                <w:rFonts w:asciiTheme="minorHAnsi" w:hAnsiTheme="minorHAnsi" w:cstheme="minorHAnsi"/>
                <w:b/>
                <w:sz w:val="20"/>
              </w:rPr>
              <w:t xml:space="preserve"> </w:t>
            </w:r>
          </w:p>
        </w:tc>
        <w:tc>
          <w:tcPr>
            <w:tcW w:w="6938" w:type="dxa"/>
          </w:tcPr>
          <w:p w:rsidR="006F1FCC" w:rsidRPr="006F1FCC" w:rsidRDefault="006F1FCC" w:rsidP="009505D2">
            <w:pPr>
              <w:pStyle w:val="BodyText"/>
              <w:numPr>
                <w:ilvl w:val="0"/>
                <w:numId w:val="32"/>
              </w:numPr>
              <w:spacing w:before="0" w:line="240" w:lineRule="auto"/>
              <w:jc w:val="left"/>
              <w:rPr>
                <w:rFonts w:asciiTheme="minorHAnsi" w:hAnsiTheme="minorHAnsi" w:cstheme="minorHAnsi"/>
                <w:sz w:val="20"/>
              </w:rPr>
            </w:pPr>
            <w:r w:rsidRPr="006F1FCC">
              <w:rPr>
                <w:rFonts w:asciiTheme="minorHAnsi" w:hAnsiTheme="minorHAnsi" w:cstheme="minorHAnsi"/>
                <w:sz w:val="20"/>
              </w:rPr>
              <w:t xml:space="preserve">Disability demographics </w:t>
            </w:r>
          </w:p>
          <w:p w:rsidR="006F1FCC" w:rsidRPr="006F1FCC" w:rsidRDefault="006F1FCC" w:rsidP="009505D2">
            <w:pPr>
              <w:pStyle w:val="BodyText"/>
              <w:numPr>
                <w:ilvl w:val="0"/>
                <w:numId w:val="32"/>
              </w:numPr>
              <w:spacing w:before="0" w:line="240" w:lineRule="auto"/>
              <w:jc w:val="left"/>
              <w:rPr>
                <w:rFonts w:asciiTheme="minorHAnsi" w:hAnsiTheme="minorHAnsi" w:cstheme="minorHAnsi"/>
                <w:sz w:val="20"/>
              </w:rPr>
            </w:pPr>
            <w:r w:rsidRPr="006F1FCC">
              <w:rPr>
                <w:rFonts w:asciiTheme="minorHAnsi" w:hAnsiTheme="minorHAnsi" w:cstheme="minorHAnsi"/>
                <w:sz w:val="20"/>
              </w:rPr>
              <w:t xml:space="preserve">Proportion of people with disability living in households or supported accommodation </w:t>
            </w:r>
          </w:p>
          <w:p w:rsidR="006F1FCC" w:rsidRPr="006F1FCC" w:rsidRDefault="006F1FCC" w:rsidP="009505D2">
            <w:pPr>
              <w:pStyle w:val="BodyText"/>
              <w:numPr>
                <w:ilvl w:val="0"/>
                <w:numId w:val="32"/>
              </w:numPr>
              <w:spacing w:before="0" w:line="240" w:lineRule="auto"/>
              <w:jc w:val="left"/>
              <w:rPr>
                <w:rFonts w:asciiTheme="minorHAnsi" w:hAnsiTheme="minorHAnsi" w:cstheme="minorHAnsi"/>
                <w:sz w:val="20"/>
              </w:rPr>
            </w:pPr>
            <w:r w:rsidRPr="006F1FCC">
              <w:rPr>
                <w:rFonts w:asciiTheme="minorHAnsi" w:hAnsiTheme="minorHAnsi" w:cstheme="minorHAnsi"/>
                <w:sz w:val="20"/>
              </w:rPr>
              <w:t>Proportion of people with disability who need assistance, received assistance and the extent to which their needs were met</w:t>
            </w:r>
          </w:p>
          <w:p w:rsidR="006F1FCC" w:rsidRPr="006F1FCC" w:rsidRDefault="006F1FCC" w:rsidP="009505D2">
            <w:pPr>
              <w:pStyle w:val="BodyText"/>
              <w:numPr>
                <w:ilvl w:val="0"/>
                <w:numId w:val="32"/>
              </w:numPr>
              <w:spacing w:before="0" w:line="240" w:lineRule="auto"/>
              <w:jc w:val="left"/>
              <w:rPr>
                <w:rFonts w:asciiTheme="minorHAnsi" w:hAnsiTheme="minorHAnsi" w:cstheme="minorHAnsi"/>
                <w:sz w:val="20"/>
              </w:rPr>
            </w:pPr>
            <w:r w:rsidRPr="006F1FCC">
              <w:rPr>
                <w:rFonts w:asciiTheme="minorHAnsi" w:hAnsiTheme="minorHAnsi" w:cstheme="minorHAnsi"/>
                <w:sz w:val="20"/>
              </w:rPr>
              <w:t>Proportion of people with disability who participated in social or community activities</w:t>
            </w:r>
          </w:p>
        </w:tc>
      </w:tr>
    </w:tbl>
    <w:p w:rsidR="00421BF1" w:rsidRDefault="00421BF1" w:rsidP="009505D2">
      <w:pPr>
        <w:pStyle w:val="ListParagraph"/>
        <w:ind w:left="405"/>
        <w:rPr>
          <w:b/>
        </w:rPr>
      </w:pPr>
    </w:p>
    <w:p w:rsidR="00DB4FF8" w:rsidRPr="006C10B2" w:rsidRDefault="00DB4FF8" w:rsidP="009505D2">
      <w:pPr>
        <w:pStyle w:val="ListParagraph"/>
        <w:numPr>
          <w:ilvl w:val="0"/>
          <w:numId w:val="32"/>
        </w:numPr>
        <w:ind w:left="405"/>
        <w:rPr>
          <w:b/>
        </w:rPr>
      </w:pPr>
      <w:r w:rsidRPr="006C10B2">
        <w:rPr>
          <w:b/>
        </w:rPr>
        <w:t>NSW Human Services Outcomes Framework –</w:t>
      </w:r>
      <w:r>
        <w:t xml:space="preserve"> will inform NSW outcome indicators. The framework has 7 outcome domains covering population level wellbeing:</w:t>
      </w:r>
    </w:p>
    <w:p w:rsidR="00DB4FF8" w:rsidRPr="006C10B2" w:rsidRDefault="00DB4FF8" w:rsidP="009505D2">
      <w:pPr>
        <w:pStyle w:val="ListParagraph"/>
        <w:numPr>
          <w:ilvl w:val="0"/>
          <w:numId w:val="34"/>
        </w:numPr>
        <w:rPr>
          <w:b/>
        </w:rPr>
      </w:pPr>
      <w:r>
        <w:t>social and community</w:t>
      </w:r>
    </w:p>
    <w:p w:rsidR="00DB4FF8" w:rsidRPr="006C10B2" w:rsidRDefault="00DB4FF8" w:rsidP="009505D2">
      <w:pPr>
        <w:pStyle w:val="ListParagraph"/>
        <w:numPr>
          <w:ilvl w:val="0"/>
          <w:numId w:val="34"/>
        </w:numPr>
        <w:rPr>
          <w:b/>
        </w:rPr>
      </w:pPr>
      <w:r>
        <w:t xml:space="preserve">education and skills </w:t>
      </w:r>
    </w:p>
    <w:p w:rsidR="00DB4FF8" w:rsidRPr="006C10B2" w:rsidRDefault="00DB4FF8" w:rsidP="009505D2">
      <w:pPr>
        <w:pStyle w:val="ListParagraph"/>
        <w:numPr>
          <w:ilvl w:val="0"/>
          <w:numId w:val="34"/>
        </w:numPr>
        <w:rPr>
          <w:b/>
        </w:rPr>
      </w:pPr>
      <w:r>
        <w:t>empowerment</w:t>
      </w:r>
    </w:p>
    <w:p w:rsidR="00DB4FF8" w:rsidRPr="006C10B2" w:rsidRDefault="00DB4FF8" w:rsidP="009505D2">
      <w:pPr>
        <w:pStyle w:val="ListParagraph"/>
        <w:numPr>
          <w:ilvl w:val="0"/>
          <w:numId w:val="34"/>
        </w:numPr>
        <w:rPr>
          <w:b/>
        </w:rPr>
      </w:pPr>
      <w:r>
        <w:t xml:space="preserve">economic </w:t>
      </w:r>
    </w:p>
    <w:p w:rsidR="00DB4FF8" w:rsidRPr="006C10B2" w:rsidRDefault="00DB4FF8" w:rsidP="009505D2">
      <w:pPr>
        <w:pStyle w:val="ListParagraph"/>
        <w:numPr>
          <w:ilvl w:val="0"/>
          <w:numId w:val="34"/>
        </w:numPr>
        <w:rPr>
          <w:b/>
        </w:rPr>
      </w:pPr>
      <w:r>
        <w:t>health</w:t>
      </w:r>
    </w:p>
    <w:p w:rsidR="00DB4FF8" w:rsidRPr="009505D2" w:rsidRDefault="00DB4FF8" w:rsidP="009505D2">
      <w:pPr>
        <w:pStyle w:val="ListParagraph"/>
        <w:numPr>
          <w:ilvl w:val="0"/>
          <w:numId w:val="34"/>
        </w:numPr>
        <w:rPr>
          <w:b/>
        </w:rPr>
      </w:pPr>
      <w:r>
        <w:t xml:space="preserve">safety </w:t>
      </w:r>
    </w:p>
    <w:p w:rsidR="009505D2" w:rsidRPr="006C10B2" w:rsidRDefault="009505D2" w:rsidP="009505D2">
      <w:pPr>
        <w:pStyle w:val="ListParagraph"/>
        <w:numPr>
          <w:ilvl w:val="0"/>
          <w:numId w:val="34"/>
        </w:numPr>
        <w:rPr>
          <w:b/>
        </w:rPr>
      </w:pPr>
      <w:r>
        <w:t>home.</w:t>
      </w:r>
    </w:p>
    <w:p w:rsidR="009A5DF3" w:rsidRPr="00954D84" w:rsidRDefault="009A5DF3" w:rsidP="00954D84">
      <w:pPr>
        <w:pStyle w:val="Heading1"/>
        <w:spacing w:before="0" w:after="120"/>
        <w:rPr>
          <w:rFonts w:ascii="Arial Black" w:hAnsi="Arial Black"/>
          <w:b/>
          <w:bCs/>
          <w:sz w:val="40"/>
          <w:szCs w:val="40"/>
        </w:rPr>
      </w:pPr>
      <w:bookmarkStart w:id="11" w:name="_Toc50989021"/>
      <w:r w:rsidRPr="00954D84">
        <w:rPr>
          <w:rFonts w:ascii="Arial Black" w:hAnsi="Arial Black"/>
          <w:b/>
          <w:bCs/>
          <w:sz w:val="40"/>
          <w:szCs w:val="40"/>
        </w:rPr>
        <w:lastRenderedPageBreak/>
        <w:t xml:space="preserve">APPENDIX </w:t>
      </w:r>
      <w:r w:rsidR="00691720" w:rsidRPr="00954D84">
        <w:rPr>
          <w:rFonts w:ascii="Arial Black" w:hAnsi="Arial Black"/>
          <w:b/>
          <w:bCs/>
          <w:sz w:val="40"/>
          <w:szCs w:val="40"/>
        </w:rPr>
        <w:t>3</w:t>
      </w:r>
      <w:bookmarkEnd w:id="11"/>
    </w:p>
    <w:p w:rsidR="00E21854" w:rsidRPr="00954D84" w:rsidRDefault="001D0671" w:rsidP="00954D84">
      <w:pPr>
        <w:pStyle w:val="Heading2"/>
        <w:spacing w:before="0" w:after="120"/>
        <w:rPr>
          <w:rFonts w:ascii="Arial" w:hAnsi="Arial" w:cs="Arial"/>
          <w:sz w:val="32"/>
          <w:szCs w:val="32"/>
        </w:rPr>
      </w:pPr>
      <w:bookmarkStart w:id="12" w:name="_Toc50989022"/>
      <w:r w:rsidRPr="00954D84">
        <w:rPr>
          <w:rFonts w:ascii="Arial" w:hAnsi="Arial" w:cs="Arial"/>
          <w:sz w:val="32"/>
          <w:szCs w:val="32"/>
        </w:rPr>
        <w:t xml:space="preserve">Key </w:t>
      </w:r>
      <w:r w:rsidR="00EB48DA" w:rsidRPr="00954D84">
        <w:rPr>
          <w:rFonts w:ascii="Arial" w:hAnsi="Arial" w:cs="Arial"/>
          <w:sz w:val="32"/>
          <w:szCs w:val="32"/>
        </w:rPr>
        <w:t>r</w:t>
      </w:r>
      <w:r w:rsidRPr="00954D84">
        <w:rPr>
          <w:rFonts w:ascii="Arial" w:hAnsi="Arial" w:cs="Arial"/>
          <w:sz w:val="32"/>
          <w:szCs w:val="32"/>
        </w:rPr>
        <w:t>eports</w:t>
      </w:r>
      <w:bookmarkEnd w:id="7"/>
      <w:bookmarkEnd w:id="12"/>
      <w:r w:rsidRPr="00954D84">
        <w:rPr>
          <w:rFonts w:ascii="Arial" w:hAnsi="Arial" w:cs="Arial"/>
          <w:sz w:val="32"/>
          <w:szCs w:val="32"/>
        </w:rPr>
        <w:t xml:space="preserve"> </w:t>
      </w:r>
    </w:p>
    <w:p w:rsidR="001D0671" w:rsidRPr="0056301D" w:rsidRDefault="001D0671">
      <w:pPr>
        <w:pStyle w:val="ListParagraph"/>
        <w:spacing w:after="120" w:line="276" w:lineRule="auto"/>
        <w:ind w:left="0"/>
        <w:rPr>
          <w:rFonts w:cstheme="minorHAnsi"/>
          <w:sz w:val="24"/>
          <w:szCs w:val="24"/>
        </w:rPr>
      </w:pPr>
      <w:r w:rsidRPr="0056301D">
        <w:rPr>
          <w:rFonts w:cstheme="minorHAnsi"/>
          <w:sz w:val="24"/>
          <w:szCs w:val="24"/>
        </w:rPr>
        <w:t xml:space="preserve">The table below outlines a number of relevant reports, including implementation plans, progress and review reports relevant to the </w:t>
      </w:r>
      <w:r w:rsidR="00EB48DA">
        <w:rPr>
          <w:rFonts w:cstheme="minorHAnsi"/>
          <w:sz w:val="24"/>
          <w:szCs w:val="24"/>
        </w:rPr>
        <w:t>Strategy</w:t>
      </w:r>
      <w:r w:rsidRPr="0056301D">
        <w:rPr>
          <w:rFonts w:cstheme="minorHAnsi"/>
          <w:sz w:val="24"/>
          <w:szCs w:val="24"/>
        </w:rPr>
        <w:t xml:space="preserve">. </w:t>
      </w:r>
    </w:p>
    <w:tbl>
      <w:tblPr>
        <w:tblStyle w:val="GridTable5Dark-Accent5"/>
        <w:tblW w:w="10100" w:type="dxa"/>
        <w:tblLook w:val="04A0" w:firstRow="1" w:lastRow="0" w:firstColumn="1" w:lastColumn="0" w:noHBand="0" w:noVBand="1"/>
        <w:tblCaption w:val="Key reports, plans and reviews relevant to the Strategy"/>
        <w:tblDescription w:val="Outlines the titles of various reports, what type of report and the report's purpose"/>
      </w:tblPr>
      <w:tblGrid>
        <w:gridCol w:w="3697"/>
        <w:gridCol w:w="1528"/>
        <w:gridCol w:w="4875"/>
      </w:tblGrid>
      <w:tr w:rsidR="001D0671" w:rsidRPr="00C903B8" w:rsidTr="009505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14" w:type="dxa"/>
            <w:shd w:val="clear" w:color="auto" w:fill="002060"/>
          </w:tcPr>
          <w:p w:rsidR="001D0671" w:rsidRPr="00F60B4C" w:rsidRDefault="001D0671">
            <w:pPr>
              <w:spacing w:line="276" w:lineRule="auto"/>
              <w:rPr>
                <w:rFonts w:cstheme="minorHAnsi"/>
                <w:sz w:val="20"/>
                <w:szCs w:val="20"/>
              </w:rPr>
            </w:pPr>
            <w:r w:rsidRPr="00F60B4C">
              <w:rPr>
                <w:rFonts w:cstheme="minorHAnsi"/>
                <w:sz w:val="20"/>
                <w:szCs w:val="20"/>
              </w:rPr>
              <w:t xml:space="preserve">TITLE </w:t>
            </w:r>
          </w:p>
          <w:p w:rsidR="001D0671" w:rsidRPr="00F60B4C" w:rsidRDefault="001D0671">
            <w:pPr>
              <w:spacing w:line="276" w:lineRule="auto"/>
              <w:rPr>
                <w:rFonts w:cstheme="minorHAnsi"/>
                <w:sz w:val="20"/>
                <w:szCs w:val="20"/>
              </w:rPr>
            </w:pPr>
          </w:p>
        </w:tc>
        <w:tc>
          <w:tcPr>
            <w:tcW w:w="1249" w:type="dxa"/>
            <w:tcBorders>
              <w:bottom w:val="single" w:sz="4" w:space="0" w:color="auto"/>
            </w:tcBorders>
            <w:shd w:val="clear" w:color="auto" w:fill="002060"/>
          </w:tcPr>
          <w:p w:rsidR="001D0671" w:rsidRPr="00F60B4C" w:rsidRDefault="001D067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TYPE OF REPORT</w:t>
            </w:r>
          </w:p>
        </w:tc>
        <w:tc>
          <w:tcPr>
            <w:tcW w:w="5037" w:type="dxa"/>
            <w:tcBorders>
              <w:bottom w:val="single" w:sz="4" w:space="0" w:color="auto"/>
            </w:tcBorders>
            <w:shd w:val="clear" w:color="auto" w:fill="002060"/>
          </w:tcPr>
          <w:p w:rsidR="001D0671" w:rsidRPr="00F60B4C" w:rsidRDefault="001D067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PURPOSE </w:t>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theme="minorHAnsi"/>
                <w:sz w:val="20"/>
                <w:szCs w:val="20"/>
              </w:rPr>
            </w:pPr>
            <w:r w:rsidRPr="00F60B4C">
              <w:rPr>
                <w:rFonts w:cstheme="minorHAnsi"/>
                <w:i/>
                <w:sz w:val="20"/>
                <w:szCs w:val="20"/>
              </w:rPr>
              <w:t>Laying the Groundwork 2011-2014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CA29D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Implementation </w:t>
            </w:r>
            <w:r w:rsidR="001D0671" w:rsidRPr="00F60B4C">
              <w:rPr>
                <w:rFonts w:cstheme="minorHAnsi"/>
                <w:sz w:val="20"/>
                <w:szCs w:val="20"/>
              </w:rPr>
              <w:t>Plan</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rsidP="00CF32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The first </w:t>
            </w:r>
            <w:r w:rsidR="00CF32EA">
              <w:rPr>
                <w:rFonts w:cstheme="minorHAnsi"/>
                <w:sz w:val="20"/>
                <w:szCs w:val="20"/>
              </w:rPr>
              <w:t xml:space="preserve">national </w:t>
            </w:r>
            <w:r w:rsidRPr="00F60B4C">
              <w:rPr>
                <w:rFonts w:cstheme="minorHAnsi"/>
                <w:sz w:val="20"/>
                <w:szCs w:val="20"/>
              </w:rPr>
              <w:t xml:space="preserve">implementation plan </w:t>
            </w:r>
            <w:r w:rsidR="00CF32EA">
              <w:rPr>
                <w:rFonts w:cstheme="minorHAnsi"/>
                <w:sz w:val="20"/>
                <w:szCs w:val="20"/>
              </w:rPr>
              <w:t xml:space="preserve">for the Strategy </w:t>
            </w:r>
            <w:r w:rsidRPr="00F60B4C">
              <w:rPr>
                <w:rFonts w:cstheme="minorHAnsi"/>
                <w:sz w:val="20"/>
                <w:szCs w:val="20"/>
              </w:rPr>
              <w:t>set out the foundation for all areas of policy development and service delivery.</w:t>
            </w:r>
          </w:p>
        </w:tc>
      </w:tr>
      <w:tr w:rsidR="00CF32EA"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CF32EA" w:rsidRPr="00F60B4C" w:rsidRDefault="00CF32EA">
            <w:pPr>
              <w:spacing w:line="276" w:lineRule="auto"/>
              <w:rPr>
                <w:rFonts w:cstheme="minorHAnsi"/>
                <w:i/>
                <w:sz w:val="20"/>
                <w:szCs w:val="20"/>
              </w:rPr>
            </w:pPr>
            <w:r>
              <w:rPr>
                <w:rFonts w:cstheme="minorHAnsi"/>
                <w:i/>
                <w:sz w:val="20"/>
                <w:szCs w:val="20"/>
              </w:rPr>
              <w:t>National Disability Strategy NSW Implementation Plan 2012-2014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CF32EA" w:rsidRPr="00F60B4C" w:rsidRDefault="00CF32E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Implementation Plan</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CF32EA" w:rsidRPr="00F60B4C" w:rsidRDefault="00EC6FC0" w:rsidP="009B5E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first NSW Implementation Plan </w:t>
            </w:r>
            <w:r w:rsidR="009B5E64">
              <w:rPr>
                <w:rFonts w:cstheme="minorHAnsi"/>
                <w:sz w:val="20"/>
                <w:szCs w:val="20"/>
              </w:rPr>
              <w:t>is the</w:t>
            </w:r>
            <w:r>
              <w:rPr>
                <w:rFonts w:cstheme="minorHAnsi"/>
                <w:sz w:val="20"/>
                <w:szCs w:val="20"/>
              </w:rPr>
              <w:t xml:space="preserve"> NSW government</w:t>
            </w:r>
            <w:r w:rsidR="009B5E64">
              <w:rPr>
                <w:rFonts w:cstheme="minorHAnsi"/>
                <w:sz w:val="20"/>
                <w:szCs w:val="20"/>
              </w:rPr>
              <w:t xml:space="preserve">’s initial response to implementing the NDS in NSW. </w:t>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theme="minorHAnsi"/>
                <w:sz w:val="20"/>
                <w:szCs w:val="20"/>
              </w:rPr>
            </w:pPr>
            <w:r w:rsidRPr="00F60B4C">
              <w:rPr>
                <w:rFonts w:cstheme="minorHAnsi"/>
                <w:i/>
                <w:sz w:val="20"/>
                <w:szCs w:val="20"/>
              </w:rPr>
              <w:t>Progress Report to the Council of Australian Governments 2014</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Progress report</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The first </w:t>
            </w:r>
            <w:r w:rsidR="00CF32EA">
              <w:rPr>
                <w:rFonts w:cstheme="minorHAnsi"/>
                <w:sz w:val="20"/>
                <w:szCs w:val="20"/>
              </w:rPr>
              <w:t xml:space="preserve">national </w:t>
            </w:r>
            <w:r w:rsidRPr="00F60B4C">
              <w:rPr>
                <w:rFonts w:cstheme="minorHAnsi"/>
                <w:sz w:val="20"/>
                <w:szCs w:val="20"/>
              </w:rPr>
              <w:t>progress report provided an overview of activities undertaken across all levels of government against the objectives of the Strategy</w:t>
            </w:r>
            <w:r w:rsidR="00D83824">
              <w:rPr>
                <w:rFonts w:cstheme="minorHAnsi"/>
                <w:sz w:val="20"/>
                <w:szCs w:val="20"/>
              </w:rPr>
              <w:t xml:space="preserve"> in </w:t>
            </w:r>
            <w:r w:rsidRPr="00F60B4C">
              <w:rPr>
                <w:rFonts w:cstheme="minorHAnsi"/>
                <w:sz w:val="20"/>
                <w:szCs w:val="20"/>
              </w:rPr>
              <w:t>2011-2014.</w:t>
            </w:r>
          </w:p>
        </w:tc>
      </w:tr>
      <w:tr w:rsidR="002F29D8"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2F29D8" w:rsidRPr="00F60B4C" w:rsidRDefault="00CB51F6" w:rsidP="00CA29DB">
            <w:pPr>
              <w:spacing w:line="276" w:lineRule="auto"/>
              <w:rPr>
                <w:rFonts w:cstheme="minorHAnsi"/>
                <w:i/>
                <w:sz w:val="20"/>
                <w:szCs w:val="20"/>
              </w:rPr>
            </w:pPr>
            <w:r>
              <w:rPr>
                <w:rFonts w:cstheme="minorHAnsi"/>
                <w:i/>
                <w:sz w:val="20"/>
                <w:szCs w:val="20"/>
              </w:rPr>
              <w:t>NSW Disability Inclusion Plan</w:t>
            </w:r>
            <w:r w:rsidR="00EC6FC0">
              <w:rPr>
                <w:rFonts w:cstheme="minorHAnsi"/>
                <w:i/>
                <w:sz w:val="20"/>
                <w:szCs w:val="20"/>
              </w:rPr>
              <w:t xml:space="preserve"> 2015</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2F29D8" w:rsidRDefault="00CB51F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2F29D8" w:rsidRPr="00CB51F6" w:rsidRDefault="00CB51F6" w:rsidP="00EC6FC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Developed in 2015 as a requirement of the </w:t>
            </w:r>
            <w:r>
              <w:rPr>
                <w:rFonts w:cstheme="minorHAnsi"/>
                <w:i/>
                <w:sz w:val="20"/>
                <w:szCs w:val="20"/>
              </w:rPr>
              <w:t>Disability Inclusion Act 2014.</w:t>
            </w:r>
            <w:r>
              <w:rPr>
                <w:rFonts w:cstheme="minorHAnsi"/>
                <w:sz w:val="20"/>
                <w:szCs w:val="20"/>
              </w:rPr>
              <w:t xml:space="preserve"> The Plan outlines the NSW Government’s commitment to </w:t>
            </w:r>
            <w:r w:rsidR="00EC6FC0">
              <w:rPr>
                <w:rFonts w:cstheme="minorHAnsi"/>
                <w:sz w:val="20"/>
                <w:szCs w:val="20"/>
              </w:rPr>
              <w:t>achieving a more inclusive society for people with disability.</w:t>
            </w:r>
            <w:r>
              <w:rPr>
                <w:rFonts w:cstheme="minorHAnsi"/>
                <w:sz w:val="20"/>
                <w:szCs w:val="20"/>
              </w:rPr>
              <w:t xml:space="preserve"> </w:t>
            </w:r>
            <w:r w:rsidR="00EC6FC0">
              <w:rPr>
                <w:rFonts w:cstheme="minorHAnsi"/>
                <w:sz w:val="20"/>
                <w:szCs w:val="20"/>
              </w:rPr>
              <w:t>It provides direction to government and sets a framework for continued consultation and partnership with people with disability, key agencies and members of the community. The Plan was updated in 2017.</w:t>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rsidP="00CA29DB">
            <w:pPr>
              <w:spacing w:line="276" w:lineRule="auto"/>
              <w:rPr>
                <w:rFonts w:cstheme="minorHAnsi"/>
                <w:b w:val="0"/>
                <w:i/>
                <w:sz w:val="20"/>
                <w:szCs w:val="20"/>
              </w:rPr>
            </w:pPr>
            <w:r w:rsidRPr="00F60B4C">
              <w:rPr>
                <w:rFonts w:cstheme="minorHAnsi"/>
                <w:i/>
                <w:sz w:val="20"/>
                <w:szCs w:val="20"/>
              </w:rPr>
              <w:t>Driving Action 2015-2018</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CA29D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Implementation </w:t>
            </w:r>
            <w:r w:rsidR="001D0671" w:rsidRPr="00F60B4C">
              <w:rPr>
                <w:rFonts w:cstheme="minorHAnsi"/>
                <w:sz w:val="20"/>
                <w:szCs w:val="20"/>
              </w:rPr>
              <w:t xml:space="preserve">Plan </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The second </w:t>
            </w:r>
            <w:r w:rsidR="00CF32EA">
              <w:rPr>
                <w:rFonts w:cstheme="minorHAnsi"/>
                <w:sz w:val="20"/>
                <w:szCs w:val="20"/>
              </w:rPr>
              <w:t xml:space="preserve">national </w:t>
            </w:r>
            <w:r w:rsidRPr="00F60B4C">
              <w:rPr>
                <w:rFonts w:cstheme="minorHAnsi"/>
                <w:sz w:val="20"/>
                <w:szCs w:val="20"/>
              </w:rPr>
              <w:t xml:space="preserve">implementation plan focused on four areas of increased national effort: </w:t>
            </w:r>
          </w:p>
          <w:p w:rsidR="001D0671" w:rsidRPr="00F60B4C" w:rsidRDefault="0056301D" w:rsidP="0098142C">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w:t>
            </w:r>
            <w:r w:rsidR="001D0671" w:rsidRPr="00F60B4C">
              <w:rPr>
                <w:rFonts w:cstheme="minorHAnsi"/>
                <w:sz w:val="20"/>
                <w:szCs w:val="20"/>
              </w:rPr>
              <w:t>ransition to the NDIS</w:t>
            </w:r>
          </w:p>
          <w:p w:rsidR="001D0671" w:rsidRPr="00F60B4C" w:rsidRDefault="0056301D" w:rsidP="0098142C">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w:t>
            </w:r>
            <w:r w:rsidR="001D0671" w:rsidRPr="00F60B4C">
              <w:rPr>
                <w:rFonts w:cstheme="minorHAnsi"/>
                <w:sz w:val="20"/>
                <w:szCs w:val="20"/>
              </w:rPr>
              <w:t>mproving employment outcomes for people with disability</w:t>
            </w:r>
          </w:p>
          <w:p w:rsidR="001D0671" w:rsidRPr="00F60B4C" w:rsidRDefault="0056301D" w:rsidP="0098142C">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w:t>
            </w:r>
            <w:r w:rsidR="001D0671" w:rsidRPr="00F60B4C">
              <w:rPr>
                <w:rFonts w:cstheme="minorHAnsi"/>
                <w:sz w:val="20"/>
                <w:szCs w:val="20"/>
              </w:rPr>
              <w:t>mproving outcomes for Aboriginal and Torres Strait Islander people with disability</w:t>
            </w:r>
          </w:p>
          <w:p w:rsidR="001D0671" w:rsidRPr="00F60B4C" w:rsidRDefault="0056301D" w:rsidP="0098142C">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w:t>
            </w:r>
            <w:r w:rsidR="001D0671" w:rsidRPr="00F60B4C">
              <w:rPr>
                <w:rFonts w:cstheme="minorHAnsi"/>
                <w:sz w:val="20"/>
                <w:szCs w:val="20"/>
              </w:rPr>
              <w:t>ommunications to promote the Strategy in the community</w:t>
            </w:r>
            <w:r w:rsidR="00D83824">
              <w:rPr>
                <w:rFonts w:cstheme="minorHAnsi"/>
                <w:sz w:val="20"/>
                <w:szCs w:val="20"/>
              </w:rPr>
              <w:t>.</w:t>
            </w:r>
            <w:r w:rsidR="001D0671" w:rsidRPr="00F60B4C">
              <w:rPr>
                <w:rFonts w:cstheme="minorHAnsi"/>
                <w:i/>
                <w:sz w:val="20"/>
                <w:szCs w:val="20"/>
              </w:rPr>
              <w:t xml:space="preserve"> </w:t>
            </w:r>
          </w:p>
        </w:tc>
      </w:tr>
      <w:tr w:rsidR="001D0671"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theme="minorHAnsi"/>
                <w:b w:val="0"/>
                <w:i/>
                <w:sz w:val="20"/>
                <w:szCs w:val="20"/>
              </w:rPr>
            </w:pPr>
            <w:r w:rsidRPr="00F60B4C">
              <w:rPr>
                <w:rFonts w:cstheme="minorHAnsi"/>
                <w:i/>
                <w:sz w:val="20"/>
                <w:szCs w:val="20"/>
              </w:rPr>
              <w:t>National Disability Strategy 2010-2020 Australian Government Action Plan</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Plan</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Outlines what actions Australian government agencies will </w:t>
            </w:r>
            <w:r w:rsidR="00D83824">
              <w:rPr>
                <w:rFonts w:cstheme="minorHAnsi"/>
                <w:sz w:val="20"/>
                <w:szCs w:val="20"/>
              </w:rPr>
              <w:t>t</w:t>
            </w:r>
            <w:r w:rsidRPr="00F60B4C">
              <w:rPr>
                <w:rFonts w:cstheme="minorHAnsi"/>
                <w:sz w:val="20"/>
                <w:szCs w:val="20"/>
              </w:rPr>
              <w:t xml:space="preserve">ake towards achieving the goals of the Strategy. This </w:t>
            </w:r>
            <w:r w:rsidR="00CF32EA">
              <w:rPr>
                <w:rFonts w:cstheme="minorHAnsi"/>
                <w:sz w:val="20"/>
                <w:szCs w:val="20"/>
              </w:rPr>
              <w:t xml:space="preserve">national </w:t>
            </w:r>
            <w:r w:rsidRPr="00F60B4C">
              <w:rPr>
                <w:rFonts w:cstheme="minorHAnsi"/>
                <w:sz w:val="20"/>
                <w:szCs w:val="20"/>
              </w:rPr>
              <w:t>Plan supported the second implementation plan.</w:t>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theme="minorHAnsi"/>
                <w:b w:val="0"/>
                <w:i/>
                <w:sz w:val="20"/>
                <w:szCs w:val="20"/>
              </w:rPr>
            </w:pPr>
            <w:r w:rsidRPr="00F60B4C">
              <w:rPr>
                <w:rFonts w:cstheme="minorHAnsi"/>
                <w:i/>
                <w:sz w:val="20"/>
                <w:szCs w:val="20"/>
              </w:rPr>
              <w:t>Australian Government Plan to Improve Outcomes for Aboriginal and Torres Strait Islander People with Disability</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Plan</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This </w:t>
            </w:r>
            <w:r w:rsidR="00CF32EA">
              <w:rPr>
                <w:rFonts w:cstheme="minorHAnsi"/>
                <w:sz w:val="20"/>
                <w:szCs w:val="20"/>
              </w:rPr>
              <w:t xml:space="preserve">national </w:t>
            </w:r>
            <w:r w:rsidRPr="00F60B4C">
              <w:rPr>
                <w:rFonts w:cstheme="minorHAnsi"/>
                <w:sz w:val="20"/>
                <w:szCs w:val="20"/>
              </w:rPr>
              <w:t xml:space="preserve">plan aims to build the capacity of service systems to better meet the needs of Aboriginal and Torres Strait Islander people with disability in a culturally safe way. This Plan </w:t>
            </w:r>
            <w:r w:rsidR="00CF32EA">
              <w:rPr>
                <w:rFonts w:cstheme="minorHAnsi"/>
                <w:sz w:val="20"/>
                <w:szCs w:val="20"/>
              </w:rPr>
              <w:t xml:space="preserve">also </w:t>
            </w:r>
            <w:r w:rsidRPr="00F60B4C">
              <w:rPr>
                <w:rFonts w:cstheme="minorHAnsi"/>
                <w:sz w:val="20"/>
                <w:szCs w:val="20"/>
              </w:rPr>
              <w:t>supported the second implementation plan.</w:t>
            </w:r>
          </w:p>
        </w:tc>
      </w:tr>
      <w:tr w:rsidR="001D0671"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theme="minorHAnsi"/>
                <w:b w:val="0"/>
                <w:i/>
                <w:sz w:val="20"/>
                <w:szCs w:val="20"/>
              </w:rPr>
            </w:pPr>
            <w:r w:rsidRPr="00F60B4C">
              <w:rPr>
                <w:rFonts w:cstheme="minorHAnsi"/>
                <w:i/>
                <w:sz w:val="20"/>
                <w:szCs w:val="20"/>
              </w:rPr>
              <w:t>Progress report to the Council of Australian Governments 2016</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Progress report </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rsidP="00CF32EA">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60B4C">
              <w:rPr>
                <w:rFonts w:cstheme="minorHAnsi"/>
                <w:sz w:val="20"/>
                <w:szCs w:val="20"/>
              </w:rPr>
              <w:t xml:space="preserve">The second </w:t>
            </w:r>
            <w:r w:rsidR="00CF32EA">
              <w:rPr>
                <w:rFonts w:cstheme="minorHAnsi"/>
                <w:sz w:val="20"/>
                <w:szCs w:val="20"/>
              </w:rPr>
              <w:t xml:space="preserve">national </w:t>
            </w:r>
            <w:r w:rsidRPr="00F60B4C">
              <w:rPr>
                <w:rFonts w:cstheme="minorHAnsi"/>
                <w:sz w:val="20"/>
                <w:szCs w:val="20"/>
              </w:rPr>
              <w:t>progress report</w:t>
            </w:r>
            <w:r w:rsidR="00CF32EA">
              <w:rPr>
                <w:rFonts w:cstheme="minorHAnsi"/>
                <w:sz w:val="20"/>
                <w:szCs w:val="20"/>
              </w:rPr>
              <w:t xml:space="preserve"> covered</w:t>
            </w:r>
            <w:r w:rsidRPr="00F60B4C">
              <w:rPr>
                <w:rFonts w:cstheme="minorHAnsi"/>
                <w:sz w:val="20"/>
                <w:szCs w:val="20"/>
              </w:rPr>
              <w:t xml:space="preserve"> the first two years of the second implementation plan. </w:t>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theme="minorHAnsi"/>
                <w:b w:val="0"/>
                <w:i/>
                <w:sz w:val="20"/>
                <w:szCs w:val="20"/>
              </w:rPr>
            </w:pPr>
            <w:r w:rsidRPr="00F60B4C">
              <w:rPr>
                <w:rFonts w:cstheme="minorHAnsi"/>
                <w:i/>
                <w:sz w:val="20"/>
                <w:szCs w:val="20"/>
              </w:rPr>
              <w:t xml:space="preserve">Review of the NSW Disability Inclusion </w:t>
            </w:r>
            <w:r w:rsidR="00D83824">
              <w:rPr>
                <w:rFonts w:cstheme="minorHAnsi"/>
                <w:i/>
                <w:sz w:val="20"/>
                <w:szCs w:val="20"/>
              </w:rPr>
              <w:t>P</w:t>
            </w:r>
            <w:r w:rsidRPr="00F60B4C">
              <w:rPr>
                <w:rFonts w:cstheme="minorHAnsi"/>
                <w:i/>
                <w:sz w:val="20"/>
                <w:szCs w:val="20"/>
              </w:rPr>
              <w:t>lan 2018</w:t>
            </w:r>
            <w:r w:rsidR="00D83824">
              <w:rPr>
                <w:rFonts w:cstheme="minorHAnsi"/>
                <w:i/>
                <w:sz w:val="20"/>
                <w:szCs w:val="20"/>
              </w:rPr>
              <w:t xml:space="preserve"> –</w:t>
            </w:r>
            <w:r w:rsidRPr="00F60B4C">
              <w:rPr>
                <w:rFonts w:cstheme="minorHAnsi"/>
                <w:i/>
                <w:sz w:val="20"/>
                <w:szCs w:val="20"/>
              </w:rPr>
              <w:t xml:space="preserve"> Final report June 2019</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Review </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The </w:t>
            </w:r>
            <w:r w:rsidRPr="00F60B4C">
              <w:rPr>
                <w:rFonts w:cstheme="minorHAnsi"/>
                <w:i/>
                <w:sz w:val="20"/>
                <w:szCs w:val="20"/>
              </w:rPr>
              <w:t>NSW Disability Inclusion Plan</w:t>
            </w:r>
            <w:r w:rsidRPr="00F60B4C">
              <w:rPr>
                <w:rFonts w:cstheme="minorHAnsi"/>
                <w:sz w:val="20"/>
                <w:szCs w:val="20"/>
              </w:rPr>
              <w:t xml:space="preserve"> was reviewed in 2019 by the Sax Institute with the Centre for Disability Research. Key findings included: </w:t>
            </w:r>
          </w:p>
          <w:p w:rsidR="001D0671" w:rsidRPr="00F60B4C" w:rsidRDefault="001D0671" w:rsidP="0098142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all agencies that were mandated had a DIAP in place</w:t>
            </w:r>
          </w:p>
          <w:p w:rsidR="001D0671" w:rsidRPr="00F60B4C" w:rsidRDefault="001D0671" w:rsidP="0098142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significant activity had occurred</w:t>
            </w:r>
          </w:p>
          <w:p w:rsidR="001D0671" w:rsidRPr="00F60B4C" w:rsidRDefault="001D0671" w:rsidP="0098142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 xml:space="preserve">DIAPs had been implemented as intended </w:t>
            </w:r>
          </w:p>
          <w:p w:rsidR="00D7534D" w:rsidRDefault="001D0671" w:rsidP="009505D2">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lastRenderedPageBreak/>
              <w:t>the legislation was perceived as a ‘catalyst, driving the prioritisation of inclusion and increasing visibility within the government sectors.’</w:t>
            </w:r>
            <w:r w:rsidR="00EC2A4F">
              <w:rPr>
                <w:rStyle w:val="FootnoteReference"/>
                <w:rFonts w:cstheme="minorHAnsi"/>
                <w:sz w:val="20"/>
                <w:szCs w:val="20"/>
              </w:rPr>
              <w:footnoteReference w:id="17"/>
            </w:r>
          </w:p>
          <w:p w:rsidR="001D0671" w:rsidRPr="00F60B4C" w:rsidRDefault="001D0671" w:rsidP="009505D2">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However the review also found:</w:t>
            </w:r>
          </w:p>
          <w:p w:rsidR="001D0671" w:rsidRPr="00F60B4C" w:rsidRDefault="001D0671" w:rsidP="0098142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‘reporting was widely recognised as problematic. Much reporting was anecdotal with little sense of impact or outcomes.’</w:t>
            </w:r>
            <w:r w:rsidRPr="00F60B4C">
              <w:rPr>
                <w:rStyle w:val="FootnoteReference"/>
                <w:rFonts w:cstheme="minorHAnsi"/>
                <w:sz w:val="20"/>
                <w:szCs w:val="20"/>
              </w:rPr>
              <w:footnoteReference w:id="18"/>
            </w:r>
            <w:r w:rsidRPr="00F60B4C">
              <w:rPr>
                <w:rFonts w:cstheme="minorHAnsi"/>
                <w:sz w:val="20"/>
                <w:szCs w:val="20"/>
              </w:rPr>
              <w:t xml:space="preserve"> </w:t>
            </w:r>
          </w:p>
          <w:p w:rsidR="001D0671" w:rsidRPr="00F60B4C" w:rsidRDefault="001D0671" w:rsidP="0098142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‘Disparate monitoring and data collection made it difficult to quantify the tangible impacts of the DIAP</w:t>
            </w:r>
            <w:r w:rsidRPr="00F60B4C">
              <w:rPr>
                <w:rStyle w:val="FootnoteReference"/>
                <w:rFonts w:cstheme="minorHAnsi"/>
                <w:sz w:val="20"/>
                <w:szCs w:val="20"/>
              </w:rPr>
              <w:footnoteReference w:id="19"/>
            </w:r>
            <w:r w:rsidRPr="00F60B4C">
              <w:rPr>
                <w:rFonts w:cstheme="minorHAnsi"/>
                <w:sz w:val="20"/>
                <w:szCs w:val="20"/>
              </w:rPr>
              <w:t>.</w:t>
            </w:r>
          </w:p>
        </w:tc>
      </w:tr>
      <w:tr w:rsidR="001D0671"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Montserrat"/>
                <w:i/>
                <w:color w:val="FF0000"/>
                <w:sz w:val="20"/>
                <w:szCs w:val="20"/>
              </w:rPr>
            </w:pPr>
            <w:r w:rsidRPr="00F60B4C">
              <w:rPr>
                <w:rFonts w:cstheme="minorHAnsi"/>
                <w:i/>
                <w:sz w:val="20"/>
                <w:szCs w:val="20"/>
              </w:rPr>
              <w:lastRenderedPageBreak/>
              <w:t xml:space="preserve">Productivity Commission </w:t>
            </w:r>
            <w:r w:rsidR="0093387E" w:rsidRPr="00F60B4C">
              <w:rPr>
                <w:rFonts w:cstheme="minorHAnsi"/>
                <w:i/>
                <w:sz w:val="20"/>
                <w:szCs w:val="20"/>
              </w:rPr>
              <w:t>–</w:t>
            </w:r>
            <w:r w:rsidRPr="00F60B4C">
              <w:rPr>
                <w:rFonts w:cstheme="minorHAnsi"/>
                <w:i/>
                <w:sz w:val="20"/>
                <w:szCs w:val="20"/>
              </w:rPr>
              <w:t xml:space="preserve"> </w:t>
            </w:r>
            <w:r w:rsidRPr="00F60B4C">
              <w:rPr>
                <w:i/>
                <w:sz w:val="20"/>
                <w:szCs w:val="20"/>
                <w:lang w:val="en"/>
              </w:rPr>
              <w:t>Review of the National Disability Agreement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Review </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E64E55" w:rsidRDefault="001D06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The Productivity Commission reviewed the N</w:t>
            </w:r>
            <w:r w:rsidR="00253692">
              <w:rPr>
                <w:rFonts w:cstheme="minorHAnsi"/>
                <w:sz w:val="20"/>
                <w:szCs w:val="20"/>
              </w:rPr>
              <w:t>ational Disability Agreement (N</w:t>
            </w:r>
            <w:r w:rsidRPr="00F60B4C">
              <w:rPr>
                <w:rFonts w:cstheme="minorHAnsi"/>
                <w:sz w:val="20"/>
                <w:szCs w:val="20"/>
              </w:rPr>
              <w:t>DA</w:t>
            </w:r>
            <w:r w:rsidR="00253692">
              <w:rPr>
                <w:rFonts w:cstheme="minorHAnsi"/>
                <w:sz w:val="20"/>
                <w:szCs w:val="20"/>
              </w:rPr>
              <w:t>)</w:t>
            </w:r>
            <w:r w:rsidRPr="00F60B4C">
              <w:rPr>
                <w:rFonts w:cstheme="minorHAnsi"/>
                <w:sz w:val="20"/>
                <w:szCs w:val="20"/>
              </w:rPr>
              <w:t xml:space="preserve"> in 2018 and found that</w:t>
            </w:r>
            <w:r w:rsidR="00253692">
              <w:rPr>
                <w:rFonts w:cstheme="minorHAnsi"/>
                <w:sz w:val="20"/>
                <w:szCs w:val="20"/>
              </w:rPr>
              <w:t>,</w:t>
            </w:r>
            <w:r w:rsidRPr="00F60B4C">
              <w:rPr>
                <w:rFonts w:cstheme="minorHAnsi"/>
                <w:sz w:val="20"/>
                <w:szCs w:val="20"/>
              </w:rPr>
              <w:t xml:space="preserve"> due to the changed context in the disability sector over the last </w:t>
            </w:r>
            <w:r w:rsidR="00253692">
              <w:rPr>
                <w:rFonts w:cstheme="minorHAnsi"/>
                <w:sz w:val="20"/>
                <w:szCs w:val="20"/>
              </w:rPr>
              <w:t>10</w:t>
            </w:r>
            <w:r w:rsidRPr="00F60B4C">
              <w:rPr>
                <w:rFonts w:cstheme="minorHAnsi"/>
                <w:sz w:val="20"/>
                <w:szCs w:val="20"/>
              </w:rPr>
              <w:t xml:space="preserve"> years</w:t>
            </w:r>
            <w:r w:rsidR="00253692">
              <w:rPr>
                <w:rFonts w:cstheme="minorHAnsi"/>
                <w:sz w:val="20"/>
                <w:szCs w:val="20"/>
              </w:rPr>
              <w:t xml:space="preserve"> (</w:t>
            </w:r>
            <w:r w:rsidRPr="00F60B4C">
              <w:rPr>
                <w:rFonts w:cstheme="minorHAnsi"/>
                <w:sz w:val="20"/>
                <w:szCs w:val="20"/>
              </w:rPr>
              <w:t>specifically</w:t>
            </w:r>
            <w:r w:rsidR="00253692">
              <w:rPr>
                <w:rFonts w:cstheme="minorHAnsi"/>
                <w:sz w:val="20"/>
                <w:szCs w:val="20"/>
              </w:rPr>
              <w:t>,</w:t>
            </w:r>
            <w:r w:rsidRPr="00F60B4C">
              <w:rPr>
                <w:rFonts w:cstheme="minorHAnsi"/>
                <w:sz w:val="20"/>
                <w:szCs w:val="20"/>
              </w:rPr>
              <w:t xml:space="preserve"> the introduction of the NDIS and the development of the </w:t>
            </w:r>
            <w:r w:rsidR="00253692">
              <w:rPr>
                <w:rFonts w:cstheme="minorHAnsi"/>
                <w:sz w:val="20"/>
                <w:szCs w:val="20"/>
              </w:rPr>
              <w:t>Strategy)</w:t>
            </w:r>
            <w:r w:rsidRPr="00F60B4C">
              <w:rPr>
                <w:rFonts w:cstheme="minorHAnsi"/>
                <w:sz w:val="20"/>
                <w:szCs w:val="20"/>
              </w:rPr>
              <w:t xml:space="preserve">, the NDA was outdated and had limited contemporary relevance. </w:t>
            </w:r>
          </w:p>
          <w:p w:rsidR="00CD75C2" w:rsidRPr="00CD75C2" w:rsidRDefault="009B5E6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It also recommended that ‘there be a single set of outcomes across the NDA and the NDS</w:t>
            </w:r>
            <w:r w:rsidR="00AB18D5">
              <w:rPr>
                <w:rFonts w:cstheme="minorHAnsi"/>
                <w:sz w:val="20"/>
                <w:szCs w:val="20"/>
              </w:rPr>
              <w:t>.</w:t>
            </w:r>
            <w:r w:rsidR="00D7534D">
              <w:rPr>
                <w:rFonts w:cstheme="minorHAnsi"/>
                <w:sz w:val="20"/>
                <w:szCs w:val="20"/>
              </w:rPr>
              <w:t xml:space="preserve"> </w:t>
            </w:r>
            <w:r w:rsidR="00AB18D5">
              <w:rPr>
                <w:rFonts w:cstheme="minorHAnsi"/>
                <w:sz w:val="20"/>
                <w:szCs w:val="20"/>
              </w:rPr>
              <w:t>T</w:t>
            </w:r>
            <w:r>
              <w:rPr>
                <w:rFonts w:cstheme="minorHAnsi"/>
                <w:sz w:val="20"/>
                <w:szCs w:val="20"/>
              </w:rPr>
              <w:t>he NDS needs to be explicitly linked to the National Disability Agreement, with a common set of objectives and outcomes between the two instruments.’</w:t>
            </w:r>
            <w:r>
              <w:rPr>
                <w:rStyle w:val="FootnoteReference"/>
                <w:rFonts w:cstheme="minorHAnsi"/>
                <w:sz w:val="20"/>
                <w:szCs w:val="20"/>
              </w:rPr>
              <w:footnoteReference w:id="20"/>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Del="007C6E30" w:rsidRDefault="001D0671">
            <w:pPr>
              <w:spacing w:line="276" w:lineRule="auto"/>
              <w:rPr>
                <w:sz w:val="20"/>
                <w:szCs w:val="20"/>
              </w:rPr>
            </w:pPr>
            <w:r w:rsidRPr="00F60B4C">
              <w:rPr>
                <w:rFonts w:cstheme="minorHAnsi"/>
                <w:sz w:val="20"/>
                <w:szCs w:val="20"/>
              </w:rPr>
              <w:t xml:space="preserve">Senate Inquiry into the Delivery of outcomes under </w:t>
            </w:r>
            <w:r w:rsidRPr="00F60B4C">
              <w:rPr>
                <w:rFonts w:cstheme="minorHAnsi"/>
                <w:i/>
                <w:sz w:val="20"/>
                <w:szCs w:val="20"/>
              </w:rPr>
              <w:t>the National Disability Strategy 2010-2020</w:t>
            </w:r>
            <w:r w:rsidRPr="00F60B4C">
              <w:rPr>
                <w:rFonts w:cstheme="minorHAnsi"/>
                <w:sz w:val="20"/>
                <w:szCs w:val="20"/>
              </w:rPr>
              <w:t xml:space="preserve"> to build inclusive and accessible communities, Community Affairs References Committee 2017</w:t>
            </w:r>
            <w:r w:rsidR="00397D94">
              <w:rPr>
                <w:rFonts w:cstheme="minorHAnsi"/>
                <w:sz w:val="20"/>
                <w:szCs w:val="20"/>
              </w:rPr>
              <w:t>,</w:t>
            </w:r>
            <w:r w:rsidRPr="00F60B4C">
              <w:rPr>
                <w:rFonts w:cstheme="minorHAnsi"/>
                <w:sz w:val="20"/>
                <w:szCs w:val="20"/>
              </w:rPr>
              <w:t xml:space="preserve"> and Australian Government response to the Inquiry</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Inquiry and Response Report</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0B4C">
              <w:rPr>
                <w:rFonts w:cstheme="minorHAnsi"/>
                <w:sz w:val="20"/>
                <w:szCs w:val="20"/>
              </w:rPr>
              <w:t>The Inquiry found ‘ongoing concerns with progress across a wide range of areas of access and types of disabilities’</w:t>
            </w:r>
            <w:r w:rsidRPr="00F60B4C">
              <w:rPr>
                <w:rStyle w:val="FootnoteReference"/>
                <w:rFonts w:cstheme="minorHAnsi"/>
                <w:sz w:val="20"/>
                <w:szCs w:val="20"/>
              </w:rPr>
              <w:footnoteReference w:id="21"/>
            </w:r>
            <w:r w:rsidRPr="00F60B4C">
              <w:rPr>
                <w:rFonts w:cstheme="minorHAnsi"/>
                <w:sz w:val="20"/>
                <w:szCs w:val="20"/>
              </w:rPr>
              <w:t xml:space="preserve"> and recommended </w:t>
            </w:r>
            <w:r w:rsidR="00901452">
              <w:rPr>
                <w:rFonts w:cstheme="minorHAnsi"/>
                <w:sz w:val="20"/>
                <w:szCs w:val="20"/>
              </w:rPr>
              <w:t xml:space="preserve">that </w:t>
            </w:r>
            <w:r w:rsidRPr="00F60B4C">
              <w:rPr>
                <w:rFonts w:cstheme="minorHAnsi"/>
                <w:sz w:val="20"/>
                <w:szCs w:val="20"/>
              </w:rPr>
              <w:t>all governments recommit to the Strategy</w:t>
            </w:r>
            <w:r w:rsidR="00901452">
              <w:rPr>
                <w:rFonts w:cstheme="minorHAnsi"/>
                <w:sz w:val="20"/>
                <w:szCs w:val="20"/>
              </w:rPr>
              <w:t>,</w:t>
            </w:r>
            <w:r w:rsidRPr="00F60B4C">
              <w:rPr>
                <w:rFonts w:cstheme="minorHAnsi"/>
                <w:sz w:val="20"/>
                <w:szCs w:val="20"/>
              </w:rPr>
              <w:t xml:space="preserve"> including contributing to regular progress reporting. The </w:t>
            </w:r>
            <w:r w:rsidR="00901452">
              <w:rPr>
                <w:rFonts w:cstheme="minorHAnsi"/>
                <w:sz w:val="20"/>
                <w:szCs w:val="20"/>
              </w:rPr>
              <w:t>G</w:t>
            </w:r>
            <w:r w:rsidRPr="00F60B4C">
              <w:rPr>
                <w:rFonts w:cstheme="minorHAnsi"/>
                <w:sz w:val="20"/>
                <w:szCs w:val="20"/>
              </w:rPr>
              <w:t>overnment</w:t>
            </w:r>
            <w:r w:rsidR="00901452">
              <w:rPr>
                <w:rFonts w:cstheme="minorHAnsi"/>
                <w:sz w:val="20"/>
                <w:szCs w:val="20"/>
              </w:rPr>
              <w:t>’s</w:t>
            </w:r>
            <w:r w:rsidRPr="00F60B4C">
              <w:rPr>
                <w:rFonts w:cstheme="minorHAnsi"/>
                <w:sz w:val="20"/>
                <w:szCs w:val="20"/>
              </w:rPr>
              <w:t xml:space="preserve"> response agreed to this recommendation and support</w:t>
            </w:r>
            <w:r w:rsidR="00901452">
              <w:rPr>
                <w:rFonts w:cstheme="minorHAnsi"/>
                <w:sz w:val="20"/>
                <w:szCs w:val="20"/>
              </w:rPr>
              <w:t>ed</w:t>
            </w:r>
            <w:r w:rsidRPr="00F60B4C">
              <w:rPr>
                <w:rFonts w:cstheme="minorHAnsi"/>
                <w:sz w:val="20"/>
                <w:szCs w:val="20"/>
              </w:rPr>
              <w:t xml:space="preserve"> ‘in-principle the inclusion of measurable goals within the Strategy’s implementation plans, as well as monitoring and reporting on their progress’. </w:t>
            </w:r>
            <w:r w:rsidRPr="00F60B4C">
              <w:rPr>
                <w:rStyle w:val="FootnoteReference"/>
                <w:rFonts w:cstheme="minorHAnsi"/>
                <w:sz w:val="20"/>
                <w:szCs w:val="20"/>
              </w:rPr>
              <w:footnoteReference w:id="22"/>
            </w:r>
          </w:p>
        </w:tc>
      </w:tr>
      <w:tr w:rsidR="001D0671"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Del="007C6E30" w:rsidRDefault="001D0671">
            <w:pPr>
              <w:spacing w:line="276" w:lineRule="auto"/>
              <w:rPr>
                <w:i/>
                <w:sz w:val="20"/>
                <w:szCs w:val="20"/>
              </w:rPr>
            </w:pPr>
            <w:r w:rsidRPr="00F60B4C">
              <w:rPr>
                <w:rFonts w:cstheme="minorHAnsi"/>
                <w:i/>
                <w:sz w:val="20"/>
                <w:szCs w:val="20"/>
              </w:rPr>
              <w:t xml:space="preserve">Review of the Implementation of the National Disability Strategy 2010-2020 –Final Report, </w:t>
            </w:r>
            <w:r w:rsidRPr="00F60B4C">
              <w:rPr>
                <w:rFonts w:cstheme="minorHAnsi"/>
                <w:sz w:val="20"/>
                <w:szCs w:val="20"/>
              </w:rPr>
              <w:t>Social Policy Research Centre, UNSW, August 2018</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Review</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05330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National r</w:t>
            </w:r>
            <w:r w:rsidR="001D0671" w:rsidRPr="00F60B4C">
              <w:rPr>
                <w:rFonts w:cstheme="minorHAnsi"/>
                <w:sz w:val="20"/>
                <w:szCs w:val="20"/>
              </w:rPr>
              <w:t>eview to examine how effectively the Strategy had been implemented</w:t>
            </w:r>
            <w:r w:rsidR="00EA2A0D">
              <w:rPr>
                <w:rFonts w:cstheme="minorHAnsi"/>
                <w:sz w:val="20"/>
                <w:szCs w:val="20"/>
              </w:rPr>
              <w:t>,</w:t>
            </w:r>
            <w:r w:rsidR="001D0671" w:rsidRPr="00F60B4C">
              <w:rPr>
                <w:rFonts w:cstheme="minorHAnsi"/>
                <w:sz w:val="20"/>
                <w:szCs w:val="20"/>
              </w:rPr>
              <w:t xml:space="preserve"> with the aim of informing the development of a new </w:t>
            </w:r>
            <w:r w:rsidR="00EA2A0D">
              <w:rPr>
                <w:rFonts w:cstheme="minorHAnsi"/>
                <w:sz w:val="20"/>
                <w:szCs w:val="20"/>
              </w:rPr>
              <w:t>s</w:t>
            </w:r>
            <w:r w:rsidR="001D0671" w:rsidRPr="00F60B4C">
              <w:rPr>
                <w:rFonts w:cstheme="minorHAnsi"/>
                <w:sz w:val="20"/>
                <w:szCs w:val="20"/>
              </w:rPr>
              <w:t xml:space="preserve">trategy or framework </w:t>
            </w:r>
            <w:r w:rsidR="00EA2A0D">
              <w:rPr>
                <w:rFonts w:cstheme="minorHAnsi"/>
                <w:sz w:val="20"/>
                <w:szCs w:val="20"/>
              </w:rPr>
              <w:t>for</w:t>
            </w:r>
            <w:r w:rsidR="001D0671" w:rsidRPr="00F60B4C">
              <w:rPr>
                <w:rFonts w:cstheme="minorHAnsi"/>
                <w:sz w:val="20"/>
                <w:szCs w:val="20"/>
              </w:rPr>
              <w:t xml:space="preserve"> disability policy. The review found most stakeholders agreed </w:t>
            </w:r>
            <w:r w:rsidR="00EA2A0D">
              <w:rPr>
                <w:rFonts w:cstheme="minorHAnsi"/>
                <w:sz w:val="20"/>
                <w:szCs w:val="20"/>
              </w:rPr>
              <w:t xml:space="preserve">that </w:t>
            </w:r>
            <w:r w:rsidR="001D0671" w:rsidRPr="00F60B4C">
              <w:rPr>
                <w:rFonts w:cstheme="minorHAnsi"/>
                <w:sz w:val="20"/>
                <w:szCs w:val="20"/>
              </w:rPr>
              <w:t>the principles and goals of the Strategy were sound</w:t>
            </w:r>
            <w:r w:rsidR="00EA2A0D">
              <w:rPr>
                <w:rFonts w:cstheme="minorHAnsi"/>
                <w:sz w:val="20"/>
                <w:szCs w:val="20"/>
              </w:rPr>
              <w:t>,</w:t>
            </w:r>
            <w:r w:rsidR="001D0671" w:rsidRPr="00F60B4C">
              <w:rPr>
                <w:rFonts w:cstheme="minorHAnsi"/>
                <w:sz w:val="20"/>
                <w:szCs w:val="20"/>
              </w:rPr>
              <w:t xml:space="preserve"> however implementation was considered patchy and marred by unproductive governance and a lack of</w:t>
            </w:r>
            <w:r w:rsidR="00EA2A0D">
              <w:rPr>
                <w:rFonts w:cstheme="minorHAnsi"/>
                <w:sz w:val="20"/>
                <w:szCs w:val="20"/>
              </w:rPr>
              <w:t>:</w:t>
            </w:r>
            <w:r w:rsidR="001D0671" w:rsidRPr="00F60B4C">
              <w:rPr>
                <w:rFonts w:cstheme="minorHAnsi"/>
                <w:sz w:val="20"/>
                <w:szCs w:val="20"/>
              </w:rPr>
              <w:t xml:space="preserve"> </w:t>
            </w:r>
          </w:p>
          <w:p w:rsidR="001D0671" w:rsidRPr="00F60B4C" w:rsidRDefault="001D0671" w:rsidP="00A2519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whole of government coordination</w:t>
            </w:r>
          </w:p>
          <w:p w:rsidR="001D0671" w:rsidRPr="00F60B4C" w:rsidRDefault="001D0671" w:rsidP="00A2519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clear and measurable outcomes </w:t>
            </w:r>
          </w:p>
          <w:p w:rsidR="001D0671" w:rsidRPr="00F60B4C" w:rsidRDefault="001D0671" w:rsidP="00A2519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meaningful consultation with people with disability </w:t>
            </w:r>
          </w:p>
          <w:p w:rsidR="001D0671" w:rsidRPr="00F60B4C" w:rsidRDefault="001D0671" w:rsidP="00A2519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 xml:space="preserve">funding for initiatives </w:t>
            </w:r>
          </w:p>
          <w:p w:rsidR="001D0671" w:rsidRPr="00F60B4C" w:rsidRDefault="001D0671" w:rsidP="00A2519B">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60B4C">
              <w:rPr>
                <w:rFonts w:cstheme="minorHAnsi"/>
                <w:sz w:val="20"/>
                <w:szCs w:val="20"/>
              </w:rPr>
              <w:t>public and sector awareness.</w:t>
            </w:r>
          </w:p>
        </w:tc>
      </w:tr>
      <w:tr w:rsidR="001D0671" w:rsidRPr="00C903B8" w:rsidTr="00563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b w:val="0"/>
                <w:bCs w:val="0"/>
                <w:i/>
                <w:sz w:val="20"/>
                <w:szCs w:val="20"/>
              </w:rPr>
            </w:pPr>
            <w:r w:rsidRPr="00F60B4C">
              <w:rPr>
                <w:rFonts w:cs="Montserrat"/>
                <w:i/>
                <w:sz w:val="20"/>
                <w:szCs w:val="20"/>
              </w:rPr>
              <w:lastRenderedPageBreak/>
              <w:t xml:space="preserve">A </w:t>
            </w:r>
            <w:r w:rsidRPr="00F60B4C">
              <w:rPr>
                <w:i/>
                <w:sz w:val="20"/>
                <w:szCs w:val="20"/>
              </w:rPr>
              <w:t>National Disability Strategy 2010</w:t>
            </w:r>
            <w:r w:rsidRPr="00F60B4C">
              <w:rPr>
                <w:i/>
                <w:sz w:val="20"/>
                <w:szCs w:val="20"/>
              </w:rPr>
              <w:noBreakHyphen/>
              <w:t xml:space="preserve">2020 </w:t>
            </w:r>
            <w:r w:rsidR="0093387E" w:rsidRPr="00F60B4C">
              <w:rPr>
                <w:i/>
                <w:sz w:val="20"/>
                <w:szCs w:val="20"/>
              </w:rPr>
              <w:t>–</w:t>
            </w:r>
            <w:r w:rsidRPr="00F60B4C">
              <w:rPr>
                <w:i/>
                <w:sz w:val="20"/>
                <w:szCs w:val="20"/>
              </w:rPr>
              <w:t xml:space="preserve"> Progress Report to the Council of Australian Governments 2018</w:t>
            </w:r>
            <w:r w:rsidR="00013E68">
              <w:rPr>
                <w:i/>
                <w:sz w:val="20"/>
                <w:szCs w:val="20"/>
              </w:rPr>
              <w:t xml:space="preserve"> </w:t>
            </w:r>
            <w:r w:rsidR="00013E68" w:rsidRPr="00F60B4C">
              <w:rPr>
                <w:rFonts w:cs="Montserrat"/>
                <w:i/>
                <w:color w:val="FF0000"/>
                <w:sz w:val="20"/>
                <w:szCs w:val="20"/>
              </w:rPr>
              <w:t>(Draft)</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60B4C">
              <w:rPr>
                <w:sz w:val="20"/>
                <w:szCs w:val="20"/>
              </w:rPr>
              <w:t>Progress report</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rsidP="00F7213F">
            <w:pPr>
              <w:spacing w:line="276" w:lineRule="auto"/>
              <w:cnfStyle w:val="000000100000" w:firstRow="0" w:lastRow="0" w:firstColumn="0" w:lastColumn="0" w:oddVBand="0" w:evenVBand="0" w:oddHBand="1" w:evenHBand="0" w:firstRowFirstColumn="0" w:firstRowLastColumn="0" w:lastRowFirstColumn="0" w:lastRowLastColumn="0"/>
              <w:rPr>
                <w:bCs/>
                <w:sz w:val="20"/>
                <w:szCs w:val="20"/>
              </w:rPr>
            </w:pPr>
            <w:r w:rsidRPr="00F60B4C">
              <w:rPr>
                <w:rFonts w:cstheme="minorHAnsi"/>
                <w:sz w:val="20"/>
                <w:szCs w:val="20"/>
              </w:rPr>
              <w:t xml:space="preserve">The 2018 </w:t>
            </w:r>
            <w:r w:rsidR="00F7213F">
              <w:rPr>
                <w:rFonts w:cstheme="minorHAnsi"/>
                <w:sz w:val="20"/>
                <w:szCs w:val="20"/>
              </w:rPr>
              <w:t>national p</w:t>
            </w:r>
            <w:r w:rsidRPr="00F60B4C">
              <w:rPr>
                <w:rFonts w:cstheme="minorHAnsi"/>
                <w:sz w:val="20"/>
                <w:szCs w:val="20"/>
              </w:rPr>
              <w:t xml:space="preserve">rogress </w:t>
            </w:r>
            <w:r w:rsidR="00F7213F">
              <w:rPr>
                <w:rFonts w:cstheme="minorHAnsi"/>
                <w:sz w:val="20"/>
                <w:szCs w:val="20"/>
              </w:rPr>
              <w:t>r</w:t>
            </w:r>
            <w:r w:rsidRPr="00F60B4C">
              <w:rPr>
                <w:rFonts w:cstheme="minorHAnsi"/>
                <w:sz w:val="20"/>
                <w:szCs w:val="20"/>
              </w:rPr>
              <w:t xml:space="preserve">eport </w:t>
            </w:r>
            <w:r w:rsidR="00F7213F">
              <w:rPr>
                <w:rFonts w:cstheme="minorHAnsi"/>
                <w:sz w:val="20"/>
                <w:szCs w:val="20"/>
              </w:rPr>
              <w:t xml:space="preserve">has been drafted and </w:t>
            </w:r>
            <w:r w:rsidRPr="00F60B4C">
              <w:rPr>
                <w:rFonts w:cstheme="minorHAnsi"/>
                <w:sz w:val="20"/>
                <w:szCs w:val="20"/>
              </w:rPr>
              <w:t xml:space="preserve">is </w:t>
            </w:r>
            <w:r w:rsidR="00013E68">
              <w:rPr>
                <w:rFonts w:cstheme="minorHAnsi"/>
                <w:sz w:val="20"/>
                <w:szCs w:val="20"/>
              </w:rPr>
              <w:t xml:space="preserve">expected to </w:t>
            </w:r>
            <w:r w:rsidRPr="00F60B4C">
              <w:rPr>
                <w:rFonts w:cstheme="minorHAnsi"/>
                <w:sz w:val="20"/>
                <w:szCs w:val="20"/>
              </w:rPr>
              <w:t xml:space="preserve">be released </w:t>
            </w:r>
            <w:r w:rsidR="004C7231">
              <w:rPr>
                <w:rFonts w:cstheme="minorHAnsi"/>
                <w:sz w:val="20"/>
                <w:szCs w:val="20"/>
              </w:rPr>
              <w:t>shortly.</w:t>
            </w:r>
          </w:p>
        </w:tc>
      </w:tr>
      <w:tr w:rsidR="001D0671" w:rsidRPr="00C903B8" w:rsidTr="0056301D">
        <w:tc>
          <w:tcPr>
            <w:cnfStyle w:val="001000000000" w:firstRow="0" w:lastRow="0" w:firstColumn="1" w:lastColumn="0" w:oddVBand="0" w:evenVBand="0" w:oddHBand="0" w:evenHBand="0" w:firstRowFirstColumn="0" w:firstRowLastColumn="0" w:lastRowFirstColumn="0" w:lastRowLastColumn="0"/>
            <w:tcW w:w="3814" w:type="dxa"/>
            <w:tcBorders>
              <w:right w:val="single" w:sz="4" w:space="0" w:color="auto"/>
            </w:tcBorders>
            <w:shd w:val="clear" w:color="auto" w:fill="002060"/>
          </w:tcPr>
          <w:p w:rsidR="001D0671" w:rsidRPr="00F60B4C" w:rsidRDefault="001D0671">
            <w:pPr>
              <w:spacing w:line="276" w:lineRule="auto"/>
              <w:rPr>
                <w:rFonts w:cs="Montserrat"/>
                <w:i/>
                <w:color w:val="FF0000"/>
                <w:sz w:val="20"/>
                <w:szCs w:val="20"/>
              </w:rPr>
            </w:pPr>
            <w:r w:rsidRPr="00F60B4C">
              <w:rPr>
                <w:i/>
                <w:sz w:val="20"/>
                <w:szCs w:val="20"/>
              </w:rPr>
              <w:t xml:space="preserve">Right to opportunity: </w:t>
            </w:r>
            <w:r w:rsidRPr="00F60B4C">
              <w:rPr>
                <w:rStyle w:val="A1"/>
                <w:rFonts w:asciiTheme="minorHAnsi" w:hAnsiTheme="minorHAnsi"/>
                <w:i/>
                <w:color w:val="FFFFFF" w:themeColor="background1"/>
                <w:sz w:val="20"/>
                <w:szCs w:val="20"/>
              </w:rPr>
              <w:t xml:space="preserve">Consultation report to help shape the next </w:t>
            </w:r>
            <w:r w:rsidR="00F41672">
              <w:rPr>
                <w:rStyle w:val="A1"/>
                <w:rFonts w:asciiTheme="minorHAnsi" w:hAnsiTheme="minorHAnsi"/>
                <w:i/>
                <w:color w:val="FFFFFF" w:themeColor="background1"/>
                <w:sz w:val="20"/>
                <w:szCs w:val="20"/>
              </w:rPr>
              <w:t>N</w:t>
            </w:r>
            <w:r w:rsidRPr="00F60B4C">
              <w:rPr>
                <w:rStyle w:val="A1"/>
                <w:rFonts w:asciiTheme="minorHAnsi" w:hAnsiTheme="minorHAnsi"/>
                <w:i/>
                <w:color w:val="FFFFFF" w:themeColor="background1"/>
                <w:sz w:val="20"/>
                <w:szCs w:val="20"/>
              </w:rPr>
              <w:t xml:space="preserve">ational </w:t>
            </w:r>
            <w:r w:rsidR="00F41672">
              <w:rPr>
                <w:rStyle w:val="A1"/>
                <w:rFonts w:asciiTheme="minorHAnsi" w:hAnsiTheme="minorHAnsi"/>
                <w:i/>
                <w:color w:val="FFFFFF" w:themeColor="background1"/>
                <w:sz w:val="20"/>
                <w:szCs w:val="20"/>
              </w:rPr>
              <w:t>D</w:t>
            </w:r>
            <w:r w:rsidRPr="00F60B4C">
              <w:rPr>
                <w:rStyle w:val="A1"/>
                <w:rFonts w:asciiTheme="minorHAnsi" w:hAnsiTheme="minorHAnsi"/>
                <w:i/>
                <w:color w:val="FFFFFF" w:themeColor="background1"/>
                <w:sz w:val="20"/>
                <w:szCs w:val="20"/>
              </w:rPr>
              <w:t>isability</w:t>
            </w:r>
            <w:r w:rsidR="00F41672">
              <w:rPr>
                <w:rStyle w:val="A1"/>
                <w:rFonts w:asciiTheme="minorHAnsi" w:hAnsiTheme="minorHAnsi"/>
                <w:i/>
                <w:color w:val="FFFFFF" w:themeColor="background1"/>
                <w:sz w:val="20"/>
                <w:szCs w:val="20"/>
              </w:rPr>
              <w:t xml:space="preserve"> S</w:t>
            </w:r>
            <w:r w:rsidRPr="00F60B4C">
              <w:rPr>
                <w:rStyle w:val="A1"/>
                <w:rFonts w:asciiTheme="minorHAnsi" w:hAnsiTheme="minorHAnsi"/>
                <w:i/>
                <w:color w:val="FFFFFF" w:themeColor="background1"/>
                <w:sz w:val="20"/>
                <w:szCs w:val="20"/>
              </w:rPr>
              <w:t xml:space="preserve">trategy, </w:t>
            </w:r>
            <w:r w:rsidRPr="00F60B4C">
              <w:rPr>
                <w:i/>
                <w:sz w:val="20"/>
                <w:szCs w:val="20"/>
              </w:rPr>
              <w:t>December 2019</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60B4C">
              <w:rPr>
                <w:bCs/>
                <w:sz w:val="20"/>
                <w:szCs w:val="20"/>
              </w:rPr>
              <w:t>Consultation report</w:t>
            </w:r>
          </w:p>
        </w:tc>
        <w:tc>
          <w:tcPr>
            <w:tcW w:w="5037" w:type="dxa"/>
            <w:tcBorders>
              <w:top w:val="single" w:sz="4" w:space="0" w:color="auto"/>
              <w:left w:val="single" w:sz="4" w:space="0" w:color="auto"/>
              <w:bottom w:val="single" w:sz="4" w:space="0" w:color="auto"/>
              <w:right w:val="single" w:sz="4" w:space="0" w:color="auto"/>
            </w:tcBorders>
            <w:shd w:val="clear" w:color="auto" w:fill="FFFFFF" w:themeFill="background1"/>
          </w:tcPr>
          <w:p w:rsidR="001D0671" w:rsidRPr="00F60B4C" w:rsidRDefault="001D0671" w:rsidP="005A6E8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60B4C">
              <w:rPr>
                <w:bCs/>
                <w:sz w:val="20"/>
                <w:szCs w:val="20"/>
              </w:rPr>
              <w:t xml:space="preserve">This is a report on the first round of consultations with people with disability, families, carers and supporters to input to the development of the next Strategy. </w:t>
            </w:r>
          </w:p>
        </w:tc>
      </w:tr>
    </w:tbl>
    <w:p w:rsidR="00036C26" w:rsidRPr="007C77A5" w:rsidRDefault="00036C26">
      <w:pPr>
        <w:spacing w:after="0" w:line="276" w:lineRule="auto"/>
        <w:ind w:right="-142"/>
        <w:rPr>
          <w:rFonts w:cstheme="minorHAnsi"/>
          <w:sz w:val="28"/>
          <w:szCs w:val="28"/>
        </w:rPr>
      </w:pPr>
    </w:p>
    <w:p w:rsidR="00E21854" w:rsidRDefault="00E21854">
      <w:pPr>
        <w:rPr>
          <w:rFonts w:ascii="Arial Black" w:eastAsiaTheme="majorEastAsia" w:hAnsi="Arial Black" w:cstheme="majorBidi"/>
          <w:color w:val="1F4D78" w:themeColor="accent1" w:themeShade="7F"/>
          <w:sz w:val="36"/>
          <w:szCs w:val="36"/>
        </w:rPr>
      </w:pPr>
      <w:r>
        <w:rPr>
          <w:rFonts w:ascii="Arial Black" w:hAnsi="Arial Black"/>
          <w:sz w:val="36"/>
          <w:szCs w:val="36"/>
        </w:rPr>
        <w:br w:type="page"/>
      </w:r>
    </w:p>
    <w:p w:rsidR="00E21854" w:rsidRPr="00954D84" w:rsidRDefault="00E21854" w:rsidP="00954D84">
      <w:pPr>
        <w:pStyle w:val="Heading1"/>
        <w:spacing w:before="0" w:after="120"/>
        <w:rPr>
          <w:rFonts w:ascii="Arial Black" w:hAnsi="Arial Black"/>
          <w:b/>
          <w:bCs/>
          <w:sz w:val="40"/>
          <w:szCs w:val="40"/>
        </w:rPr>
      </w:pPr>
      <w:bookmarkStart w:id="13" w:name="_Toc50989023"/>
      <w:r w:rsidRPr="00954D84">
        <w:rPr>
          <w:rFonts w:ascii="Arial Black" w:hAnsi="Arial Black"/>
          <w:b/>
          <w:bCs/>
          <w:sz w:val="40"/>
          <w:szCs w:val="40"/>
        </w:rPr>
        <w:lastRenderedPageBreak/>
        <w:t xml:space="preserve">APPENDIX </w:t>
      </w:r>
      <w:r w:rsidR="00691720" w:rsidRPr="00954D84">
        <w:rPr>
          <w:rFonts w:ascii="Arial Black" w:hAnsi="Arial Black"/>
          <w:b/>
          <w:bCs/>
          <w:sz w:val="40"/>
          <w:szCs w:val="40"/>
        </w:rPr>
        <w:t>4</w:t>
      </w:r>
      <w:bookmarkEnd w:id="13"/>
    </w:p>
    <w:p w:rsidR="00E21854" w:rsidRPr="00954D84" w:rsidRDefault="003C0947" w:rsidP="00954D84">
      <w:pPr>
        <w:pStyle w:val="Heading2"/>
        <w:spacing w:before="0" w:after="120"/>
        <w:rPr>
          <w:rFonts w:ascii="Arial" w:hAnsi="Arial" w:cs="Arial"/>
          <w:sz w:val="32"/>
          <w:szCs w:val="32"/>
        </w:rPr>
      </w:pPr>
      <w:bookmarkStart w:id="14" w:name="_Toc50989024"/>
      <w:r w:rsidRPr="00954D84">
        <w:rPr>
          <w:rFonts w:ascii="Arial" w:hAnsi="Arial" w:cs="Arial"/>
          <w:sz w:val="32"/>
          <w:szCs w:val="32"/>
        </w:rPr>
        <w:t xml:space="preserve">The </w:t>
      </w:r>
      <w:r w:rsidR="002704C2" w:rsidRPr="00954D84">
        <w:rPr>
          <w:rFonts w:ascii="Arial" w:hAnsi="Arial" w:cs="Arial"/>
          <w:sz w:val="32"/>
          <w:szCs w:val="32"/>
        </w:rPr>
        <w:t>n</w:t>
      </w:r>
      <w:r w:rsidRPr="00954D84">
        <w:rPr>
          <w:rFonts w:ascii="Arial" w:hAnsi="Arial" w:cs="Arial"/>
          <w:sz w:val="32"/>
          <w:szCs w:val="32"/>
        </w:rPr>
        <w:t>e</w:t>
      </w:r>
      <w:r w:rsidR="00E23944" w:rsidRPr="00954D84">
        <w:rPr>
          <w:rFonts w:ascii="Arial" w:hAnsi="Arial" w:cs="Arial"/>
          <w:sz w:val="32"/>
          <w:szCs w:val="32"/>
        </w:rPr>
        <w:t>xt</w:t>
      </w:r>
      <w:r w:rsidRPr="00954D84">
        <w:rPr>
          <w:rFonts w:ascii="Arial" w:hAnsi="Arial" w:cs="Arial"/>
          <w:sz w:val="32"/>
          <w:szCs w:val="32"/>
        </w:rPr>
        <w:t xml:space="preserve"> Strategy</w:t>
      </w:r>
      <w:bookmarkEnd w:id="14"/>
      <w:r w:rsidRPr="00954D84">
        <w:rPr>
          <w:rFonts w:ascii="Arial" w:hAnsi="Arial" w:cs="Arial"/>
          <w:sz w:val="32"/>
          <w:szCs w:val="32"/>
        </w:rPr>
        <w:t xml:space="preserve"> </w:t>
      </w:r>
    </w:p>
    <w:p w:rsidR="003C0947" w:rsidRPr="00E21854" w:rsidRDefault="00FD706D">
      <w:pPr>
        <w:spacing w:after="0" w:line="276" w:lineRule="auto"/>
        <w:rPr>
          <w:rFonts w:cstheme="minorHAnsi"/>
          <w:sz w:val="24"/>
          <w:szCs w:val="24"/>
        </w:rPr>
      </w:pPr>
      <w:r>
        <w:rPr>
          <w:rFonts w:cstheme="minorHAnsi"/>
          <w:sz w:val="24"/>
          <w:szCs w:val="24"/>
        </w:rPr>
        <w:t>In November 2017, t</w:t>
      </w:r>
      <w:r w:rsidR="003C0947" w:rsidRPr="00E21854">
        <w:rPr>
          <w:rFonts w:cstheme="minorHAnsi"/>
          <w:sz w:val="24"/>
          <w:szCs w:val="24"/>
        </w:rPr>
        <w:t>he Disability Reform Council (DRC) approved the development of a new</w:t>
      </w:r>
      <w:r w:rsidR="003C0947" w:rsidRPr="00E21854">
        <w:rPr>
          <w:rFonts w:cstheme="minorHAnsi"/>
          <w:i/>
          <w:sz w:val="24"/>
          <w:szCs w:val="24"/>
        </w:rPr>
        <w:t xml:space="preserve"> National Disability Policy Framework</w:t>
      </w:r>
      <w:r w:rsidR="003C0947" w:rsidRPr="00E21854">
        <w:rPr>
          <w:rFonts w:cstheme="minorHAnsi"/>
          <w:sz w:val="24"/>
          <w:szCs w:val="24"/>
        </w:rPr>
        <w:t xml:space="preserve">. </w:t>
      </w:r>
      <w:r w:rsidR="00361EAC">
        <w:rPr>
          <w:rFonts w:cstheme="minorHAnsi"/>
          <w:sz w:val="24"/>
          <w:szCs w:val="24"/>
        </w:rPr>
        <w:t>Development of the Framework</w:t>
      </w:r>
      <w:r w:rsidR="00361EAC" w:rsidRPr="00835FC0">
        <w:rPr>
          <w:rFonts w:cstheme="minorHAnsi"/>
          <w:sz w:val="24"/>
          <w:szCs w:val="24"/>
        </w:rPr>
        <w:t xml:space="preserve"> </w:t>
      </w:r>
      <w:r w:rsidR="003C0947" w:rsidRPr="00FA3268">
        <w:rPr>
          <w:rFonts w:cstheme="minorHAnsi"/>
          <w:sz w:val="24"/>
          <w:szCs w:val="24"/>
        </w:rPr>
        <w:t>will be</w:t>
      </w:r>
      <w:r w:rsidR="003C0947" w:rsidRPr="00E21854">
        <w:rPr>
          <w:rFonts w:cstheme="minorHAnsi"/>
          <w:sz w:val="24"/>
          <w:szCs w:val="24"/>
        </w:rPr>
        <w:t xml:space="preserve"> informed by a strategic review of the current </w:t>
      </w:r>
      <w:r>
        <w:rPr>
          <w:rFonts w:cstheme="minorHAnsi"/>
          <w:sz w:val="24"/>
          <w:szCs w:val="24"/>
        </w:rPr>
        <w:t>S</w:t>
      </w:r>
      <w:r w:rsidR="003C0947" w:rsidRPr="00E21854">
        <w:rPr>
          <w:rFonts w:cstheme="minorHAnsi"/>
          <w:sz w:val="24"/>
          <w:szCs w:val="24"/>
        </w:rPr>
        <w:t>trategy</w:t>
      </w:r>
      <w:r>
        <w:rPr>
          <w:rFonts w:cstheme="minorHAnsi"/>
          <w:sz w:val="24"/>
          <w:szCs w:val="24"/>
        </w:rPr>
        <w:t>,</w:t>
      </w:r>
      <w:r w:rsidR="003C0947" w:rsidRPr="00E21854">
        <w:rPr>
          <w:rFonts w:cstheme="minorHAnsi"/>
          <w:sz w:val="24"/>
          <w:szCs w:val="24"/>
        </w:rPr>
        <w:t xml:space="preserve"> including extensive consultations with people with disability, their representative organisations and other key stakeholders.</w:t>
      </w:r>
      <w:r w:rsidR="003C0947" w:rsidRPr="00E21854">
        <w:rPr>
          <w:rStyle w:val="FootnoteReference"/>
          <w:rFonts w:cstheme="minorHAnsi"/>
          <w:sz w:val="24"/>
          <w:szCs w:val="24"/>
        </w:rPr>
        <w:footnoteReference w:id="23"/>
      </w:r>
      <w:r w:rsidR="003C0947" w:rsidRPr="00E21854">
        <w:rPr>
          <w:rFonts w:cstheme="minorHAnsi"/>
          <w:sz w:val="24"/>
          <w:szCs w:val="24"/>
        </w:rPr>
        <w:t xml:space="preserve"> </w:t>
      </w:r>
    </w:p>
    <w:p w:rsidR="001635BD" w:rsidRPr="00E21854" w:rsidRDefault="001635BD">
      <w:pPr>
        <w:spacing w:after="0" w:line="276" w:lineRule="auto"/>
        <w:rPr>
          <w:rFonts w:cstheme="minorHAnsi"/>
          <w:sz w:val="24"/>
          <w:szCs w:val="24"/>
        </w:rPr>
      </w:pPr>
    </w:p>
    <w:p w:rsidR="003C0947" w:rsidRPr="00C903B8" w:rsidRDefault="003C0947">
      <w:pPr>
        <w:spacing w:after="60" w:line="276" w:lineRule="auto"/>
        <w:rPr>
          <w:rFonts w:cstheme="minorHAnsi"/>
          <w:sz w:val="24"/>
          <w:szCs w:val="24"/>
        </w:rPr>
      </w:pPr>
      <w:r w:rsidRPr="00E21854">
        <w:rPr>
          <w:rFonts w:cstheme="minorHAnsi"/>
          <w:sz w:val="24"/>
          <w:szCs w:val="24"/>
        </w:rPr>
        <w:t xml:space="preserve">Between April </w:t>
      </w:r>
      <w:r w:rsidR="00FD706D">
        <w:rPr>
          <w:rFonts w:cstheme="minorHAnsi"/>
          <w:sz w:val="24"/>
          <w:szCs w:val="24"/>
        </w:rPr>
        <w:t>and</w:t>
      </w:r>
      <w:r w:rsidRPr="00E21854">
        <w:rPr>
          <w:rFonts w:cstheme="minorHAnsi"/>
          <w:sz w:val="24"/>
          <w:szCs w:val="24"/>
        </w:rPr>
        <w:t xml:space="preserve"> July 2019, the first round of consultations into the development of </w:t>
      </w:r>
      <w:r w:rsidR="00B351E7">
        <w:rPr>
          <w:rFonts w:cstheme="minorHAnsi"/>
          <w:sz w:val="24"/>
          <w:szCs w:val="24"/>
        </w:rPr>
        <w:t>a</w:t>
      </w:r>
      <w:r w:rsidRPr="00E21854">
        <w:rPr>
          <w:rFonts w:cstheme="minorHAnsi"/>
          <w:sz w:val="24"/>
          <w:szCs w:val="24"/>
        </w:rPr>
        <w:t xml:space="preserve"> new </w:t>
      </w:r>
      <w:r w:rsidR="00FD706D">
        <w:rPr>
          <w:rFonts w:cstheme="minorHAnsi"/>
          <w:sz w:val="24"/>
          <w:szCs w:val="24"/>
        </w:rPr>
        <w:t>S</w:t>
      </w:r>
      <w:r w:rsidRPr="00E21854">
        <w:rPr>
          <w:rFonts w:cstheme="minorHAnsi"/>
          <w:sz w:val="24"/>
          <w:szCs w:val="24"/>
        </w:rPr>
        <w:t>trategy w</w:t>
      </w:r>
      <w:r w:rsidR="00FD706D">
        <w:rPr>
          <w:rFonts w:cstheme="minorHAnsi"/>
          <w:sz w:val="24"/>
          <w:szCs w:val="24"/>
        </w:rPr>
        <w:t>as</w:t>
      </w:r>
      <w:r w:rsidRPr="00E21854">
        <w:rPr>
          <w:rFonts w:cstheme="minorHAnsi"/>
          <w:sz w:val="24"/>
          <w:szCs w:val="24"/>
        </w:rPr>
        <w:t xml:space="preserve"> held. </w:t>
      </w:r>
      <w:r w:rsidRPr="00C903B8">
        <w:rPr>
          <w:rFonts w:cstheme="minorHAnsi"/>
          <w:sz w:val="24"/>
          <w:szCs w:val="24"/>
        </w:rPr>
        <w:t xml:space="preserve">In December 2019, </w:t>
      </w:r>
      <w:r w:rsidR="00FD706D">
        <w:rPr>
          <w:rFonts w:cstheme="minorHAnsi"/>
          <w:sz w:val="24"/>
          <w:szCs w:val="24"/>
        </w:rPr>
        <w:t xml:space="preserve">the </w:t>
      </w:r>
      <w:r w:rsidRPr="00C903B8">
        <w:rPr>
          <w:rFonts w:cstheme="minorHAnsi"/>
          <w:sz w:val="24"/>
          <w:szCs w:val="24"/>
        </w:rPr>
        <w:t>Department of Social Services (DSS) released a report o</w:t>
      </w:r>
      <w:r w:rsidR="00D809F3">
        <w:rPr>
          <w:rFonts w:cstheme="minorHAnsi"/>
          <w:sz w:val="24"/>
          <w:szCs w:val="24"/>
        </w:rPr>
        <w:t>n</w:t>
      </w:r>
      <w:r w:rsidRPr="00C903B8">
        <w:rPr>
          <w:rFonts w:cstheme="minorHAnsi"/>
          <w:sz w:val="24"/>
          <w:szCs w:val="24"/>
        </w:rPr>
        <w:t xml:space="preserve"> these consultations</w:t>
      </w:r>
      <w:r w:rsidR="002C445C">
        <w:rPr>
          <w:rFonts w:cstheme="minorHAnsi"/>
          <w:sz w:val="24"/>
          <w:szCs w:val="24"/>
        </w:rPr>
        <w:t>,</w:t>
      </w:r>
      <w:r w:rsidRPr="00C903B8">
        <w:rPr>
          <w:rFonts w:cstheme="minorHAnsi"/>
          <w:sz w:val="24"/>
          <w:szCs w:val="24"/>
        </w:rPr>
        <w:t xml:space="preserve"> </w:t>
      </w:r>
      <w:r w:rsidRPr="00FA3268">
        <w:rPr>
          <w:rFonts w:cstheme="minorHAnsi"/>
          <w:i/>
          <w:sz w:val="24"/>
          <w:szCs w:val="24"/>
        </w:rPr>
        <w:t>Right to opportunity</w:t>
      </w:r>
      <w:r w:rsidR="002C445C" w:rsidRPr="00835FC0">
        <w:rPr>
          <w:rFonts w:cstheme="minorHAnsi"/>
          <w:i/>
          <w:sz w:val="24"/>
          <w:szCs w:val="24"/>
        </w:rPr>
        <w:t>:</w:t>
      </w:r>
      <w:r w:rsidRPr="00FA3268">
        <w:rPr>
          <w:rFonts w:cstheme="minorHAnsi"/>
          <w:i/>
          <w:sz w:val="24"/>
          <w:szCs w:val="24"/>
        </w:rPr>
        <w:t xml:space="preserve"> Consultation report to help shape the next </w:t>
      </w:r>
      <w:r w:rsidR="002C445C" w:rsidRPr="00835FC0">
        <w:rPr>
          <w:rFonts w:cstheme="minorHAnsi"/>
          <w:i/>
          <w:sz w:val="24"/>
          <w:szCs w:val="24"/>
        </w:rPr>
        <w:t>n</w:t>
      </w:r>
      <w:r w:rsidRPr="00FA3268">
        <w:rPr>
          <w:rFonts w:cstheme="minorHAnsi"/>
          <w:i/>
          <w:sz w:val="24"/>
          <w:szCs w:val="24"/>
        </w:rPr>
        <w:t xml:space="preserve">ational </w:t>
      </w:r>
      <w:r w:rsidR="002C445C" w:rsidRPr="00835FC0">
        <w:rPr>
          <w:rFonts w:cstheme="minorHAnsi"/>
          <w:i/>
          <w:sz w:val="24"/>
          <w:szCs w:val="24"/>
        </w:rPr>
        <w:t>d</w:t>
      </w:r>
      <w:r w:rsidRPr="00FA3268">
        <w:rPr>
          <w:rFonts w:cstheme="minorHAnsi"/>
          <w:i/>
          <w:sz w:val="24"/>
          <w:szCs w:val="24"/>
        </w:rPr>
        <w:t>isability</w:t>
      </w:r>
      <w:r w:rsidR="00EF68D3" w:rsidRPr="00FA3268">
        <w:rPr>
          <w:rFonts w:cstheme="minorHAnsi"/>
          <w:i/>
          <w:sz w:val="24"/>
          <w:szCs w:val="24"/>
        </w:rPr>
        <w:t xml:space="preserve"> </w:t>
      </w:r>
      <w:r w:rsidR="002C445C" w:rsidRPr="00835FC0">
        <w:rPr>
          <w:rFonts w:cstheme="minorHAnsi"/>
          <w:i/>
          <w:sz w:val="24"/>
          <w:szCs w:val="24"/>
        </w:rPr>
        <w:t>s</w:t>
      </w:r>
      <w:r w:rsidR="00EF68D3" w:rsidRPr="00FA3268">
        <w:rPr>
          <w:rFonts w:cstheme="minorHAnsi"/>
          <w:i/>
          <w:sz w:val="24"/>
          <w:szCs w:val="24"/>
        </w:rPr>
        <w:t>trategy</w:t>
      </w:r>
      <w:r w:rsidRPr="00C903B8">
        <w:rPr>
          <w:rFonts w:cstheme="minorHAnsi"/>
          <w:sz w:val="24"/>
          <w:szCs w:val="24"/>
        </w:rPr>
        <w:t xml:space="preserve">. The report suggested </w:t>
      </w:r>
      <w:r w:rsidR="00D809F3">
        <w:rPr>
          <w:rFonts w:cstheme="minorHAnsi"/>
          <w:sz w:val="24"/>
          <w:szCs w:val="24"/>
        </w:rPr>
        <w:t xml:space="preserve">consideration of </w:t>
      </w:r>
      <w:r w:rsidRPr="00C903B8">
        <w:rPr>
          <w:rFonts w:cstheme="minorHAnsi"/>
          <w:sz w:val="24"/>
          <w:szCs w:val="24"/>
        </w:rPr>
        <w:t>the following in developing the ne</w:t>
      </w:r>
      <w:r w:rsidR="002C445C">
        <w:rPr>
          <w:rFonts w:cstheme="minorHAnsi"/>
          <w:sz w:val="24"/>
          <w:szCs w:val="24"/>
        </w:rPr>
        <w:t>xt</w:t>
      </w:r>
      <w:r w:rsidRPr="00C903B8">
        <w:rPr>
          <w:rFonts w:cstheme="minorHAnsi"/>
          <w:sz w:val="24"/>
          <w:szCs w:val="24"/>
        </w:rPr>
        <w:t xml:space="preserve"> </w:t>
      </w:r>
      <w:r w:rsidR="00D809F3">
        <w:rPr>
          <w:rFonts w:cstheme="minorHAnsi"/>
          <w:sz w:val="24"/>
          <w:szCs w:val="24"/>
        </w:rPr>
        <w:t>S</w:t>
      </w:r>
      <w:r w:rsidRPr="00C903B8">
        <w:rPr>
          <w:rFonts w:cstheme="minorHAnsi"/>
          <w:sz w:val="24"/>
          <w:szCs w:val="24"/>
        </w:rPr>
        <w:t>trategy:</w:t>
      </w:r>
    </w:p>
    <w:p w:rsidR="003C0947" w:rsidRPr="00C903B8" w:rsidRDefault="003C0947" w:rsidP="00A2519B">
      <w:pPr>
        <w:pStyle w:val="ListParagraph"/>
        <w:numPr>
          <w:ilvl w:val="0"/>
          <w:numId w:val="9"/>
        </w:numPr>
        <w:spacing w:after="60" w:line="276" w:lineRule="auto"/>
        <w:ind w:left="720"/>
        <w:rPr>
          <w:rFonts w:cstheme="minorHAnsi"/>
          <w:sz w:val="24"/>
          <w:szCs w:val="24"/>
        </w:rPr>
      </w:pPr>
      <w:r w:rsidRPr="00C903B8">
        <w:rPr>
          <w:rFonts w:cstheme="minorHAnsi"/>
          <w:b/>
          <w:sz w:val="24"/>
          <w:szCs w:val="24"/>
        </w:rPr>
        <w:t>targeted consultation</w:t>
      </w:r>
      <w:r w:rsidRPr="00C903B8">
        <w:rPr>
          <w:rFonts w:cstheme="minorHAnsi"/>
          <w:sz w:val="24"/>
          <w:szCs w:val="24"/>
        </w:rPr>
        <w:t xml:space="preserve"> </w:t>
      </w:r>
      <w:r w:rsidR="00D809F3">
        <w:rPr>
          <w:rFonts w:cstheme="minorHAnsi"/>
          <w:sz w:val="24"/>
          <w:szCs w:val="24"/>
        </w:rPr>
        <w:t xml:space="preserve">– involving </w:t>
      </w:r>
      <w:r w:rsidRPr="00C903B8">
        <w:rPr>
          <w:rFonts w:cstheme="minorHAnsi"/>
          <w:sz w:val="24"/>
          <w:szCs w:val="24"/>
        </w:rPr>
        <w:t>another</w:t>
      </w:r>
      <w:r w:rsidR="00D809F3">
        <w:rPr>
          <w:rFonts w:cstheme="minorHAnsi"/>
          <w:sz w:val="24"/>
          <w:szCs w:val="24"/>
        </w:rPr>
        <w:t>,</w:t>
      </w:r>
      <w:r w:rsidRPr="00C903B8">
        <w:rPr>
          <w:rFonts w:cstheme="minorHAnsi"/>
          <w:sz w:val="24"/>
          <w:szCs w:val="24"/>
        </w:rPr>
        <w:t xml:space="preserve"> more targeted</w:t>
      </w:r>
      <w:r w:rsidR="00D809F3">
        <w:rPr>
          <w:rFonts w:cstheme="minorHAnsi"/>
          <w:sz w:val="24"/>
          <w:szCs w:val="24"/>
        </w:rPr>
        <w:t>,</w:t>
      </w:r>
      <w:r w:rsidRPr="00C903B8">
        <w:rPr>
          <w:rFonts w:cstheme="minorHAnsi"/>
          <w:sz w:val="24"/>
          <w:szCs w:val="24"/>
        </w:rPr>
        <w:t xml:space="preserve"> round of consultations </w:t>
      </w:r>
      <w:r w:rsidR="00F00454">
        <w:rPr>
          <w:rFonts w:cstheme="minorHAnsi"/>
          <w:sz w:val="24"/>
          <w:szCs w:val="24"/>
        </w:rPr>
        <w:t xml:space="preserve">and </w:t>
      </w:r>
      <w:r w:rsidR="00D809F3">
        <w:rPr>
          <w:rFonts w:cstheme="minorHAnsi"/>
          <w:sz w:val="24"/>
          <w:szCs w:val="24"/>
        </w:rPr>
        <w:t xml:space="preserve">use of </w:t>
      </w:r>
      <w:r w:rsidRPr="00C903B8">
        <w:rPr>
          <w:rFonts w:cstheme="minorHAnsi"/>
          <w:sz w:val="24"/>
          <w:szCs w:val="24"/>
        </w:rPr>
        <w:t xml:space="preserve">a co-design process with people with disability </w:t>
      </w:r>
      <w:r w:rsidR="00F00454">
        <w:rPr>
          <w:rFonts w:cstheme="minorHAnsi"/>
          <w:sz w:val="24"/>
          <w:szCs w:val="24"/>
        </w:rPr>
        <w:t xml:space="preserve">to </w:t>
      </w:r>
      <w:r w:rsidRPr="00C903B8">
        <w:rPr>
          <w:rFonts w:cstheme="minorHAnsi"/>
          <w:sz w:val="24"/>
          <w:szCs w:val="24"/>
        </w:rPr>
        <w:t>develop the ne</w:t>
      </w:r>
      <w:r w:rsidR="003C0BC8">
        <w:rPr>
          <w:rFonts w:cstheme="minorHAnsi"/>
          <w:sz w:val="24"/>
          <w:szCs w:val="24"/>
        </w:rPr>
        <w:t>xt</w:t>
      </w:r>
      <w:r w:rsidRPr="00C903B8">
        <w:rPr>
          <w:rFonts w:cstheme="minorHAnsi"/>
          <w:sz w:val="24"/>
          <w:szCs w:val="24"/>
        </w:rPr>
        <w:t xml:space="preserve"> </w:t>
      </w:r>
      <w:r w:rsidR="00F00454">
        <w:rPr>
          <w:rFonts w:cstheme="minorHAnsi"/>
          <w:sz w:val="24"/>
          <w:szCs w:val="24"/>
        </w:rPr>
        <w:t>S</w:t>
      </w:r>
      <w:r w:rsidRPr="00C903B8">
        <w:rPr>
          <w:rFonts w:cstheme="minorHAnsi"/>
          <w:sz w:val="24"/>
          <w:szCs w:val="24"/>
        </w:rPr>
        <w:t>trategy</w:t>
      </w:r>
      <w:r w:rsidR="00F00454">
        <w:rPr>
          <w:rFonts w:cstheme="minorHAnsi"/>
          <w:sz w:val="24"/>
          <w:szCs w:val="24"/>
        </w:rPr>
        <w:t>,</w:t>
      </w:r>
      <w:r w:rsidRPr="00C903B8">
        <w:rPr>
          <w:rFonts w:cstheme="minorHAnsi"/>
          <w:sz w:val="24"/>
          <w:szCs w:val="24"/>
        </w:rPr>
        <w:t xml:space="preserve"> including the employment of people with lived experience to work on the design of the new </w:t>
      </w:r>
      <w:r w:rsidR="00F00454">
        <w:rPr>
          <w:rFonts w:cstheme="minorHAnsi"/>
          <w:sz w:val="24"/>
          <w:szCs w:val="24"/>
        </w:rPr>
        <w:t>S</w:t>
      </w:r>
      <w:r w:rsidRPr="00C903B8">
        <w:rPr>
          <w:rFonts w:cstheme="minorHAnsi"/>
          <w:sz w:val="24"/>
          <w:szCs w:val="24"/>
        </w:rPr>
        <w:t>trategy</w:t>
      </w:r>
    </w:p>
    <w:p w:rsidR="003C0947" w:rsidRPr="00C903B8" w:rsidRDefault="003C0947" w:rsidP="0098142C">
      <w:pPr>
        <w:pStyle w:val="ListParagraph"/>
        <w:numPr>
          <w:ilvl w:val="0"/>
          <w:numId w:val="6"/>
        </w:numPr>
        <w:spacing w:after="60" w:line="276" w:lineRule="auto"/>
        <w:ind w:left="720"/>
        <w:rPr>
          <w:rFonts w:cstheme="minorHAnsi"/>
          <w:sz w:val="24"/>
          <w:szCs w:val="24"/>
        </w:rPr>
      </w:pPr>
      <w:r w:rsidRPr="00C903B8">
        <w:rPr>
          <w:rFonts w:cstheme="minorHAnsi"/>
          <w:b/>
          <w:sz w:val="24"/>
          <w:szCs w:val="24"/>
        </w:rPr>
        <w:t>outcome measurement and reporting</w:t>
      </w:r>
      <w:r w:rsidRPr="00835FC0">
        <w:rPr>
          <w:rFonts w:cstheme="minorHAnsi"/>
          <w:sz w:val="24"/>
          <w:szCs w:val="24"/>
        </w:rPr>
        <w:t xml:space="preserve"> </w:t>
      </w:r>
      <w:r w:rsidR="00F00454">
        <w:rPr>
          <w:rFonts w:cstheme="minorHAnsi"/>
          <w:sz w:val="24"/>
          <w:szCs w:val="24"/>
        </w:rPr>
        <w:t>–</w:t>
      </w:r>
      <w:r w:rsidRPr="00F00454">
        <w:rPr>
          <w:rFonts w:cstheme="minorHAnsi"/>
          <w:sz w:val="24"/>
          <w:szCs w:val="24"/>
        </w:rPr>
        <w:t xml:space="preserve"> </w:t>
      </w:r>
    </w:p>
    <w:p w:rsidR="003C0947" w:rsidRPr="00C903B8" w:rsidRDefault="003C0947" w:rsidP="00A2519B">
      <w:pPr>
        <w:pStyle w:val="ListParagraph"/>
        <w:numPr>
          <w:ilvl w:val="0"/>
          <w:numId w:val="11"/>
        </w:numPr>
        <w:spacing w:after="60" w:line="276" w:lineRule="auto"/>
        <w:ind w:left="1440"/>
        <w:rPr>
          <w:rFonts w:cstheme="minorHAnsi"/>
          <w:sz w:val="24"/>
          <w:szCs w:val="24"/>
        </w:rPr>
      </w:pPr>
      <w:r w:rsidRPr="00C903B8">
        <w:rPr>
          <w:rFonts w:cstheme="minorHAnsi"/>
          <w:sz w:val="24"/>
          <w:szCs w:val="24"/>
        </w:rPr>
        <w:t>actions, measurement and reporting that will demonstrate how Australia will meet and maintain its commitments under the UNCRPD</w:t>
      </w:r>
    </w:p>
    <w:p w:rsidR="003C0947" w:rsidRPr="00C903B8" w:rsidRDefault="003C0947" w:rsidP="00A2519B">
      <w:pPr>
        <w:pStyle w:val="ListParagraph"/>
        <w:numPr>
          <w:ilvl w:val="0"/>
          <w:numId w:val="11"/>
        </w:numPr>
        <w:spacing w:after="60" w:line="276" w:lineRule="auto"/>
        <w:ind w:left="1440"/>
        <w:rPr>
          <w:rFonts w:cstheme="minorHAnsi"/>
          <w:sz w:val="24"/>
          <w:szCs w:val="24"/>
        </w:rPr>
      </w:pPr>
      <w:r w:rsidRPr="00C903B8">
        <w:rPr>
          <w:rFonts w:cstheme="minorHAnsi"/>
          <w:sz w:val="24"/>
          <w:szCs w:val="24"/>
        </w:rPr>
        <w:t>specific measurements and commitments for reporting how outcomes for people with disability are being improved using an evidence-based framework</w:t>
      </w:r>
    </w:p>
    <w:p w:rsidR="003C0947" w:rsidRPr="00C903B8" w:rsidRDefault="003C0947" w:rsidP="0098142C">
      <w:pPr>
        <w:pStyle w:val="ListParagraph"/>
        <w:numPr>
          <w:ilvl w:val="0"/>
          <w:numId w:val="6"/>
        </w:numPr>
        <w:spacing w:after="60" w:line="276" w:lineRule="auto"/>
        <w:ind w:left="720"/>
        <w:rPr>
          <w:rFonts w:cstheme="minorHAnsi"/>
          <w:sz w:val="24"/>
          <w:szCs w:val="24"/>
        </w:rPr>
      </w:pPr>
      <w:r w:rsidRPr="00C903B8">
        <w:rPr>
          <w:rFonts w:cstheme="minorHAnsi"/>
          <w:b/>
          <w:sz w:val="24"/>
          <w:szCs w:val="24"/>
        </w:rPr>
        <w:t xml:space="preserve">people with disability not accessing NDIS </w:t>
      </w:r>
      <w:r w:rsidR="00F00454">
        <w:rPr>
          <w:rFonts w:cstheme="minorHAnsi"/>
          <w:sz w:val="24"/>
          <w:szCs w:val="24"/>
        </w:rPr>
        <w:t>–</w:t>
      </w:r>
      <w:r w:rsidRPr="00F00454">
        <w:rPr>
          <w:rFonts w:cstheme="minorHAnsi"/>
          <w:sz w:val="24"/>
          <w:szCs w:val="24"/>
        </w:rPr>
        <w:t xml:space="preserve"> </w:t>
      </w:r>
      <w:r w:rsidRPr="00C903B8">
        <w:rPr>
          <w:rFonts w:cstheme="minorHAnsi"/>
          <w:sz w:val="24"/>
          <w:szCs w:val="24"/>
        </w:rPr>
        <w:t>demonstrat</w:t>
      </w:r>
      <w:r w:rsidR="003C0BC8">
        <w:rPr>
          <w:rFonts w:cstheme="minorHAnsi"/>
          <w:sz w:val="24"/>
          <w:szCs w:val="24"/>
        </w:rPr>
        <w:t>ing</w:t>
      </w:r>
      <w:r w:rsidRPr="00C903B8">
        <w:rPr>
          <w:rFonts w:cstheme="minorHAnsi"/>
          <w:sz w:val="24"/>
          <w:szCs w:val="24"/>
        </w:rPr>
        <w:t xml:space="preserve"> how </w:t>
      </w:r>
      <w:r w:rsidR="003C0BC8">
        <w:rPr>
          <w:rFonts w:cstheme="minorHAnsi"/>
          <w:sz w:val="24"/>
          <w:szCs w:val="24"/>
        </w:rPr>
        <w:t>g</w:t>
      </w:r>
      <w:r w:rsidRPr="00C903B8">
        <w:rPr>
          <w:rFonts w:cstheme="minorHAnsi"/>
          <w:sz w:val="24"/>
          <w:szCs w:val="24"/>
        </w:rPr>
        <w:t>overnment will fulfil its responsibilities to those people with disability not covered by the NDIS</w:t>
      </w:r>
      <w:r w:rsidR="00F00454">
        <w:rPr>
          <w:rFonts w:cstheme="minorHAnsi"/>
          <w:sz w:val="24"/>
          <w:szCs w:val="24"/>
        </w:rPr>
        <w:t>,</w:t>
      </w:r>
      <w:r w:rsidRPr="00C903B8">
        <w:rPr>
          <w:rFonts w:cstheme="minorHAnsi"/>
          <w:sz w:val="24"/>
          <w:szCs w:val="24"/>
        </w:rPr>
        <w:t xml:space="preserve"> by improving access to mainstream services</w:t>
      </w:r>
      <w:r w:rsidR="003C0BC8">
        <w:rPr>
          <w:rFonts w:cstheme="minorHAnsi"/>
          <w:sz w:val="24"/>
          <w:szCs w:val="24"/>
        </w:rPr>
        <w:t>,</w:t>
      </w:r>
      <w:r w:rsidRPr="00C903B8">
        <w:rPr>
          <w:rFonts w:cstheme="minorHAnsi"/>
          <w:sz w:val="24"/>
          <w:szCs w:val="24"/>
        </w:rPr>
        <w:t xml:space="preserve"> such as health, education</w:t>
      </w:r>
      <w:r w:rsidR="003C0BC8">
        <w:rPr>
          <w:rFonts w:cstheme="minorHAnsi"/>
          <w:sz w:val="24"/>
          <w:szCs w:val="24"/>
        </w:rPr>
        <w:t>,</w:t>
      </w:r>
      <w:r w:rsidRPr="00C903B8">
        <w:rPr>
          <w:rFonts w:cstheme="minorHAnsi"/>
          <w:sz w:val="24"/>
          <w:szCs w:val="24"/>
        </w:rPr>
        <w:t xml:space="preserve"> transport</w:t>
      </w:r>
      <w:r w:rsidR="003C0BC8">
        <w:rPr>
          <w:rFonts w:cstheme="minorHAnsi"/>
          <w:sz w:val="24"/>
          <w:szCs w:val="24"/>
        </w:rPr>
        <w:t xml:space="preserve"> and justice</w:t>
      </w:r>
    </w:p>
    <w:p w:rsidR="003C0947" w:rsidRPr="00C903B8" w:rsidRDefault="003C0947" w:rsidP="0098142C">
      <w:pPr>
        <w:pStyle w:val="ListParagraph"/>
        <w:numPr>
          <w:ilvl w:val="0"/>
          <w:numId w:val="6"/>
        </w:numPr>
        <w:spacing w:after="60" w:line="276" w:lineRule="auto"/>
        <w:ind w:left="709" w:hanging="357"/>
        <w:rPr>
          <w:rFonts w:cstheme="minorHAnsi"/>
          <w:sz w:val="24"/>
          <w:szCs w:val="24"/>
        </w:rPr>
      </w:pPr>
      <w:r w:rsidRPr="00C903B8">
        <w:rPr>
          <w:rFonts w:cstheme="minorHAnsi"/>
          <w:b/>
          <w:sz w:val="24"/>
          <w:szCs w:val="24"/>
        </w:rPr>
        <w:t xml:space="preserve">community awareness strategies </w:t>
      </w:r>
      <w:r w:rsidR="00F00454">
        <w:rPr>
          <w:rFonts w:cstheme="minorHAnsi"/>
          <w:sz w:val="24"/>
          <w:szCs w:val="24"/>
        </w:rPr>
        <w:t>–</w:t>
      </w:r>
      <w:r w:rsidRPr="00F00454">
        <w:rPr>
          <w:rFonts w:cstheme="minorHAnsi"/>
          <w:sz w:val="24"/>
          <w:szCs w:val="24"/>
        </w:rPr>
        <w:t xml:space="preserve"> </w:t>
      </w:r>
      <w:r w:rsidRPr="00FA3268">
        <w:rPr>
          <w:rFonts w:cstheme="minorHAnsi"/>
          <w:sz w:val="24"/>
          <w:szCs w:val="24"/>
        </w:rPr>
        <w:t>includ</w:t>
      </w:r>
      <w:r w:rsidR="003C0BC8">
        <w:rPr>
          <w:rFonts w:cstheme="minorHAnsi"/>
          <w:sz w:val="24"/>
          <w:szCs w:val="24"/>
        </w:rPr>
        <w:t>ing</w:t>
      </w:r>
      <w:r w:rsidRPr="00C903B8">
        <w:rPr>
          <w:rFonts w:cstheme="minorHAnsi"/>
          <w:sz w:val="24"/>
          <w:szCs w:val="24"/>
        </w:rPr>
        <w:t xml:space="preserve"> strategies to improve community awareness, attitudes and understanding of disability (disability literacy)</w:t>
      </w:r>
    </w:p>
    <w:p w:rsidR="003C0947" w:rsidRPr="00FA3268" w:rsidRDefault="003C0947" w:rsidP="0098142C">
      <w:pPr>
        <w:pStyle w:val="ListParagraph"/>
        <w:numPr>
          <w:ilvl w:val="0"/>
          <w:numId w:val="6"/>
        </w:numPr>
        <w:spacing w:after="0" w:line="276" w:lineRule="auto"/>
        <w:ind w:left="709"/>
        <w:rPr>
          <w:rFonts w:cstheme="minorHAnsi"/>
          <w:sz w:val="24"/>
          <w:szCs w:val="24"/>
        </w:rPr>
      </w:pPr>
      <w:r w:rsidRPr="00C903B8">
        <w:rPr>
          <w:rFonts w:cstheme="minorHAnsi"/>
          <w:b/>
          <w:sz w:val="24"/>
          <w:szCs w:val="24"/>
        </w:rPr>
        <w:t xml:space="preserve">focus on minority and culturally diverse groups </w:t>
      </w:r>
      <w:r w:rsidR="00F00454">
        <w:rPr>
          <w:rFonts w:cstheme="minorHAnsi"/>
          <w:sz w:val="24"/>
          <w:szCs w:val="24"/>
        </w:rPr>
        <w:t>–</w:t>
      </w:r>
      <w:r w:rsidRPr="00F00454">
        <w:rPr>
          <w:rFonts w:cstheme="minorHAnsi"/>
          <w:sz w:val="24"/>
          <w:szCs w:val="24"/>
        </w:rPr>
        <w:t xml:space="preserve"> </w:t>
      </w:r>
      <w:r w:rsidR="003C0BC8">
        <w:rPr>
          <w:rFonts w:cstheme="minorHAnsi"/>
          <w:sz w:val="24"/>
          <w:szCs w:val="24"/>
        </w:rPr>
        <w:t xml:space="preserve">including increasing </w:t>
      </w:r>
      <w:r w:rsidR="003C0BC8" w:rsidRPr="00FA3268">
        <w:rPr>
          <w:rFonts w:cstheme="minorHAnsi"/>
          <w:sz w:val="24"/>
          <w:szCs w:val="24"/>
        </w:rPr>
        <w:t>the</w:t>
      </w:r>
      <w:r w:rsidRPr="00FA3268">
        <w:rPr>
          <w:rFonts w:cstheme="minorHAnsi"/>
          <w:sz w:val="24"/>
          <w:szCs w:val="24"/>
        </w:rPr>
        <w:t xml:space="preserve"> focus </w:t>
      </w:r>
      <w:r w:rsidR="003C0BC8" w:rsidRPr="00835FC0">
        <w:rPr>
          <w:rFonts w:cstheme="minorHAnsi"/>
          <w:sz w:val="24"/>
          <w:szCs w:val="24"/>
        </w:rPr>
        <w:t>on</w:t>
      </w:r>
      <w:r w:rsidRPr="00FA3268">
        <w:rPr>
          <w:rFonts w:cstheme="minorHAnsi"/>
          <w:sz w:val="24"/>
          <w:szCs w:val="24"/>
        </w:rPr>
        <w:t xml:space="preserve"> Aboriginal and Torres Strait Islander</w:t>
      </w:r>
      <w:r w:rsidR="003C0BC8" w:rsidRPr="00835FC0">
        <w:rPr>
          <w:rFonts w:cstheme="minorHAnsi"/>
          <w:sz w:val="24"/>
          <w:szCs w:val="24"/>
        </w:rPr>
        <w:t xml:space="preserve"> communities</w:t>
      </w:r>
      <w:r w:rsidRPr="00FA3268">
        <w:rPr>
          <w:rFonts w:cstheme="minorHAnsi"/>
          <w:sz w:val="24"/>
          <w:szCs w:val="24"/>
        </w:rPr>
        <w:t xml:space="preserve">, </w:t>
      </w:r>
      <w:r w:rsidR="003C0BC8">
        <w:rPr>
          <w:rFonts w:cstheme="minorHAnsi"/>
          <w:sz w:val="24"/>
          <w:szCs w:val="24"/>
        </w:rPr>
        <w:t>culturally and linguistically diverse</w:t>
      </w:r>
      <w:r w:rsidRPr="00FA3268">
        <w:rPr>
          <w:rFonts w:cstheme="minorHAnsi"/>
          <w:sz w:val="24"/>
          <w:szCs w:val="24"/>
        </w:rPr>
        <w:t xml:space="preserve"> communities, people with intellectual disability</w:t>
      </w:r>
      <w:r w:rsidR="003C0BC8" w:rsidRPr="00835FC0">
        <w:rPr>
          <w:rFonts w:cstheme="minorHAnsi"/>
          <w:sz w:val="24"/>
          <w:szCs w:val="24"/>
        </w:rPr>
        <w:t>,</w:t>
      </w:r>
      <w:r w:rsidRPr="00FA3268">
        <w:rPr>
          <w:rFonts w:cstheme="minorHAnsi"/>
          <w:sz w:val="24"/>
          <w:szCs w:val="24"/>
        </w:rPr>
        <w:t xml:space="preserve"> and rural and remote</w:t>
      </w:r>
      <w:r w:rsidR="003C0BC8" w:rsidRPr="00835FC0">
        <w:rPr>
          <w:rFonts w:cstheme="minorHAnsi"/>
          <w:sz w:val="24"/>
          <w:szCs w:val="24"/>
        </w:rPr>
        <w:t xml:space="preserve"> communities</w:t>
      </w:r>
      <w:r w:rsidRPr="00FA3268">
        <w:rPr>
          <w:rFonts w:cstheme="minorHAnsi"/>
          <w:sz w:val="24"/>
          <w:szCs w:val="24"/>
        </w:rPr>
        <w:t xml:space="preserve">. </w:t>
      </w:r>
    </w:p>
    <w:p w:rsidR="001635BD" w:rsidRDefault="001635BD">
      <w:pPr>
        <w:spacing w:after="0" w:line="276" w:lineRule="auto"/>
        <w:rPr>
          <w:rFonts w:cstheme="minorHAnsi"/>
          <w:sz w:val="24"/>
          <w:szCs w:val="24"/>
        </w:rPr>
      </w:pPr>
    </w:p>
    <w:p w:rsidR="003C0947" w:rsidRPr="00C903B8" w:rsidRDefault="003C0947">
      <w:pPr>
        <w:spacing w:after="0" w:line="276" w:lineRule="auto"/>
        <w:rPr>
          <w:rFonts w:cstheme="minorHAnsi"/>
          <w:sz w:val="24"/>
          <w:szCs w:val="24"/>
        </w:rPr>
      </w:pPr>
      <w:r w:rsidRPr="00C903B8">
        <w:rPr>
          <w:rFonts w:cstheme="minorHAnsi"/>
          <w:sz w:val="24"/>
          <w:szCs w:val="24"/>
        </w:rPr>
        <w:t>The second round of consultations to guide the development of the ne</w:t>
      </w:r>
      <w:r w:rsidR="002D7D5E">
        <w:rPr>
          <w:rFonts w:cstheme="minorHAnsi"/>
          <w:sz w:val="24"/>
          <w:szCs w:val="24"/>
        </w:rPr>
        <w:t>xt</w:t>
      </w:r>
      <w:r w:rsidRPr="00C903B8">
        <w:rPr>
          <w:rFonts w:cstheme="minorHAnsi"/>
          <w:sz w:val="24"/>
          <w:szCs w:val="24"/>
        </w:rPr>
        <w:t xml:space="preserve"> </w:t>
      </w:r>
      <w:r w:rsidR="006E6C3A">
        <w:rPr>
          <w:rFonts w:cstheme="minorHAnsi"/>
          <w:sz w:val="24"/>
          <w:szCs w:val="24"/>
        </w:rPr>
        <w:t>S</w:t>
      </w:r>
      <w:r w:rsidRPr="00C903B8">
        <w:rPr>
          <w:rFonts w:cstheme="minorHAnsi"/>
          <w:sz w:val="24"/>
          <w:szCs w:val="24"/>
        </w:rPr>
        <w:t>trategy had been intended to be held earlier this year but w</w:t>
      </w:r>
      <w:r w:rsidR="006E6C3A">
        <w:rPr>
          <w:rFonts w:cstheme="minorHAnsi"/>
          <w:sz w:val="24"/>
          <w:szCs w:val="24"/>
        </w:rPr>
        <w:t>as</w:t>
      </w:r>
      <w:r w:rsidRPr="00C903B8">
        <w:rPr>
          <w:rFonts w:cstheme="minorHAnsi"/>
          <w:sz w:val="24"/>
          <w:szCs w:val="24"/>
        </w:rPr>
        <w:t xml:space="preserve"> put on hold due to the pandemic. The</w:t>
      </w:r>
      <w:r w:rsidR="006E6C3A">
        <w:rPr>
          <w:rFonts w:cstheme="minorHAnsi"/>
          <w:sz w:val="24"/>
          <w:szCs w:val="24"/>
        </w:rPr>
        <w:t xml:space="preserve"> consultation process has recently</w:t>
      </w:r>
      <w:r w:rsidRPr="00C903B8">
        <w:rPr>
          <w:rFonts w:cstheme="minorHAnsi"/>
          <w:sz w:val="24"/>
          <w:szCs w:val="24"/>
        </w:rPr>
        <w:t xml:space="preserve"> recommenced with DSS releasing a National Disability Strategy Position Paper</w:t>
      </w:r>
      <w:r w:rsidR="00561272">
        <w:rPr>
          <w:rFonts w:cstheme="minorHAnsi"/>
          <w:sz w:val="24"/>
          <w:szCs w:val="24"/>
        </w:rPr>
        <w:t>,</w:t>
      </w:r>
      <w:r w:rsidR="007B7D01">
        <w:rPr>
          <w:rFonts w:cstheme="minorHAnsi"/>
          <w:sz w:val="24"/>
          <w:szCs w:val="24"/>
        </w:rPr>
        <w:t xml:space="preserve"> </w:t>
      </w:r>
      <w:r w:rsidR="00786FFA">
        <w:rPr>
          <w:rFonts w:cstheme="minorHAnsi"/>
          <w:sz w:val="24"/>
          <w:szCs w:val="24"/>
        </w:rPr>
        <w:t xml:space="preserve">and </w:t>
      </w:r>
      <w:r w:rsidRPr="00C903B8">
        <w:rPr>
          <w:rFonts w:cstheme="minorHAnsi"/>
          <w:sz w:val="24"/>
          <w:szCs w:val="24"/>
        </w:rPr>
        <w:t xml:space="preserve">seeking feedback </w:t>
      </w:r>
      <w:r w:rsidR="00561272">
        <w:rPr>
          <w:rFonts w:cstheme="minorHAnsi"/>
          <w:sz w:val="24"/>
          <w:szCs w:val="24"/>
        </w:rPr>
        <w:t xml:space="preserve">by </w:t>
      </w:r>
      <w:r w:rsidR="00DB4FF8">
        <w:rPr>
          <w:rFonts w:cstheme="minorHAnsi"/>
          <w:sz w:val="24"/>
          <w:szCs w:val="24"/>
        </w:rPr>
        <w:t xml:space="preserve">1 October </w:t>
      </w:r>
      <w:r w:rsidR="00561272">
        <w:rPr>
          <w:rFonts w:cstheme="minorHAnsi"/>
          <w:sz w:val="24"/>
          <w:szCs w:val="24"/>
        </w:rPr>
        <w:t>2020</w:t>
      </w:r>
      <w:r w:rsidRPr="00C903B8">
        <w:rPr>
          <w:rFonts w:cstheme="minorHAnsi"/>
          <w:sz w:val="24"/>
          <w:szCs w:val="24"/>
        </w:rPr>
        <w:t xml:space="preserve">. </w:t>
      </w:r>
      <w:r w:rsidR="00561272">
        <w:rPr>
          <w:rFonts w:cstheme="minorHAnsi"/>
          <w:sz w:val="24"/>
          <w:szCs w:val="24"/>
        </w:rPr>
        <w:t xml:space="preserve">The </w:t>
      </w:r>
      <w:r w:rsidR="008E3A77">
        <w:rPr>
          <w:rFonts w:cstheme="minorHAnsi"/>
          <w:sz w:val="24"/>
          <w:szCs w:val="24"/>
        </w:rPr>
        <w:t>paper</w:t>
      </w:r>
      <w:r w:rsidR="004564F8">
        <w:rPr>
          <w:rFonts w:cstheme="minorHAnsi"/>
          <w:sz w:val="24"/>
          <w:szCs w:val="24"/>
        </w:rPr>
        <w:t xml:space="preserve"> </w:t>
      </w:r>
      <w:r w:rsidR="00561272">
        <w:rPr>
          <w:rFonts w:cstheme="minorHAnsi"/>
          <w:sz w:val="24"/>
          <w:szCs w:val="24"/>
        </w:rPr>
        <w:t xml:space="preserve">proposes ways </w:t>
      </w:r>
      <w:r w:rsidR="00376779">
        <w:rPr>
          <w:rFonts w:cstheme="minorHAnsi"/>
          <w:sz w:val="24"/>
          <w:szCs w:val="24"/>
        </w:rPr>
        <w:t>to</w:t>
      </w:r>
      <w:r w:rsidR="00561272">
        <w:rPr>
          <w:rFonts w:cstheme="minorHAnsi"/>
          <w:sz w:val="24"/>
          <w:szCs w:val="24"/>
        </w:rPr>
        <w:t xml:space="preserve"> build and improve on the current Strategy</w:t>
      </w:r>
      <w:r w:rsidR="00786FFA">
        <w:rPr>
          <w:rFonts w:cstheme="minorHAnsi"/>
          <w:sz w:val="24"/>
          <w:szCs w:val="24"/>
        </w:rPr>
        <w:t xml:space="preserve">, </w:t>
      </w:r>
      <w:r w:rsidR="007B7D01">
        <w:rPr>
          <w:rFonts w:cstheme="minorHAnsi"/>
          <w:sz w:val="24"/>
          <w:szCs w:val="24"/>
        </w:rPr>
        <w:t>includ</w:t>
      </w:r>
      <w:r w:rsidR="00786FFA">
        <w:rPr>
          <w:rFonts w:cstheme="minorHAnsi"/>
          <w:sz w:val="24"/>
          <w:szCs w:val="24"/>
        </w:rPr>
        <w:t>ing</w:t>
      </w:r>
      <w:r w:rsidR="007B7D01">
        <w:rPr>
          <w:rFonts w:cstheme="minorHAnsi"/>
          <w:sz w:val="24"/>
          <w:szCs w:val="24"/>
        </w:rPr>
        <w:t>:</w:t>
      </w:r>
    </w:p>
    <w:p w:rsidR="003C0947" w:rsidRPr="00FA3268" w:rsidRDefault="00786FFA" w:rsidP="00A2519B">
      <w:pPr>
        <w:pStyle w:val="ListParagraph"/>
        <w:numPr>
          <w:ilvl w:val="0"/>
          <w:numId w:val="14"/>
        </w:numPr>
        <w:spacing w:after="0" w:line="276" w:lineRule="auto"/>
        <w:rPr>
          <w:rFonts w:cstheme="minorHAnsi"/>
          <w:sz w:val="24"/>
          <w:szCs w:val="24"/>
        </w:rPr>
      </w:pPr>
      <w:r w:rsidRPr="00835FC0">
        <w:rPr>
          <w:rFonts w:cstheme="minorHAnsi"/>
          <w:sz w:val="24"/>
          <w:szCs w:val="24"/>
        </w:rPr>
        <w:t xml:space="preserve">retaining </w:t>
      </w:r>
      <w:r w:rsidR="003C0947" w:rsidRPr="00FA3268">
        <w:rPr>
          <w:rFonts w:cstheme="minorHAnsi"/>
          <w:sz w:val="24"/>
          <w:szCs w:val="24"/>
        </w:rPr>
        <w:t xml:space="preserve">the </w:t>
      </w:r>
      <w:r w:rsidR="004564F8">
        <w:rPr>
          <w:rFonts w:cstheme="minorHAnsi"/>
          <w:sz w:val="24"/>
          <w:szCs w:val="24"/>
        </w:rPr>
        <w:t xml:space="preserve">current </w:t>
      </w:r>
      <w:r w:rsidR="003C0947" w:rsidRPr="00FA3268">
        <w:rPr>
          <w:rFonts w:cstheme="minorHAnsi"/>
          <w:sz w:val="24"/>
          <w:szCs w:val="24"/>
        </w:rPr>
        <w:t>vision</w:t>
      </w:r>
      <w:r w:rsidRPr="00FA3268">
        <w:rPr>
          <w:rFonts w:cstheme="minorHAnsi"/>
          <w:sz w:val="24"/>
          <w:szCs w:val="24"/>
        </w:rPr>
        <w:t xml:space="preserve"> and</w:t>
      </w:r>
      <w:r w:rsidR="003C0947" w:rsidRPr="00FA3268">
        <w:rPr>
          <w:rFonts w:cstheme="minorHAnsi"/>
          <w:sz w:val="24"/>
          <w:szCs w:val="24"/>
        </w:rPr>
        <w:t xml:space="preserve"> outcome areas</w:t>
      </w:r>
      <w:r w:rsidR="004564F8" w:rsidRPr="00FA3268">
        <w:rPr>
          <w:rFonts w:cstheme="minorHAnsi"/>
          <w:sz w:val="24"/>
          <w:szCs w:val="24"/>
        </w:rPr>
        <w:t xml:space="preserve">, but </w:t>
      </w:r>
      <w:r w:rsidRPr="00FA3268">
        <w:rPr>
          <w:rFonts w:cstheme="minorHAnsi"/>
          <w:sz w:val="24"/>
          <w:szCs w:val="24"/>
        </w:rPr>
        <w:t>including</w:t>
      </w:r>
      <w:r w:rsidRPr="00835FC0">
        <w:rPr>
          <w:rFonts w:cstheme="minorHAnsi"/>
          <w:b/>
          <w:sz w:val="24"/>
          <w:szCs w:val="24"/>
        </w:rPr>
        <w:t xml:space="preserve"> additional </w:t>
      </w:r>
      <w:r w:rsidR="003C0947" w:rsidRPr="00835FC0">
        <w:rPr>
          <w:rFonts w:cstheme="minorHAnsi"/>
          <w:b/>
          <w:sz w:val="24"/>
          <w:szCs w:val="24"/>
        </w:rPr>
        <w:t>guiding principles</w:t>
      </w:r>
      <w:r w:rsidR="003C0947" w:rsidRPr="00FA3268">
        <w:rPr>
          <w:rFonts w:cstheme="minorHAnsi"/>
          <w:sz w:val="24"/>
          <w:szCs w:val="24"/>
        </w:rPr>
        <w:t xml:space="preserve"> </w:t>
      </w:r>
    </w:p>
    <w:p w:rsidR="003C0947" w:rsidRPr="00C903B8" w:rsidRDefault="00786FFA" w:rsidP="00A2519B">
      <w:pPr>
        <w:pStyle w:val="ListParagraph"/>
        <w:numPr>
          <w:ilvl w:val="0"/>
          <w:numId w:val="14"/>
        </w:numPr>
        <w:spacing w:after="0" w:line="276" w:lineRule="auto"/>
        <w:rPr>
          <w:rFonts w:cstheme="minorHAnsi"/>
          <w:sz w:val="24"/>
          <w:szCs w:val="24"/>
        </w:rPr>
      </w:pPr>
      <w:r>
        <w:rPr>
          <w:rFonts w:cstheme="minorHAnsi"/>
          <w:sz w:val="24"/>
          <w:szCs w:val="24"/>
        </w:rPr>
        <w:t xml:space="preserve">having </w:t>
      </w:r>
      <w:r w:rsidR="003C0947" w:rsidRPr="00C903B8">
        <w:rPr>
          <w:rFonts w:cstheme="minorHAnsi"/>
          <w:sz w:val="24"/>
          <w:szCs w:val="24"/>
        </w:rPr>
        <w:t xml:space="preserve">a </w:t>
      </w:r>
      <w:r w:rsidR="003C0947" w:rsidRPr="00835FC0">
        <w:rPr>
          <w:rFonts w:cstheme="minorHAnsi"/>
          <w:b/>
          <w:sz w:val="24"/>
          <w:szCs w:val="24"/>
        </w:rPr>
        <w:t>stronger focus on improving community attitudes</w:t>
      </w:r>
    </w:p>
    <w:p w:rsidR="003C0947" w:rsidRPr="00C903B8" w:rsidRDefault="003C0947" w:rsidP="00A2519B">
      <w:pPr>
        <w:pStyle w:val="ListParagraph"/>
        <w:numPr>
          <w:ilvl w:val="0"/>
          <w:numId w:val="14"/>
        </w:numPr>
        <w:spacing w:after="0" w:line="276" w:lineRule="auto"/>
        <w:rPr>
          <w:rFonts w:cstheme="minorHAnsi"/>
          <w:sz w:val="24"/>
          <w:szCs w:val="24"/>
        </w:rPr>
      </w:pPr>
      <w:r w:rsidRPr="00C903B8">
        <w:rPr>
          <w:rFonts w:cstheme="minorHAnsi"/>
          <w:sz w:val="24"/>
          <w:szCs w:val="24"/>
        </w:rPr>
        <w:t xml:space="preserve">clearly describing </w:t>
      </w:r>
      <w:r w:rsidR="00786FFA">
        <w:rPr>
          <w:rFonts w:cstheme="minorHAnsi"/>
          <w:sz w:val="24"/>
          <w:szCs w:val="24"/>
        </w:rPr>
        <w:t xml:space="preserve">the </w:t>
      </w:r>
      <w:r w:rsidRPr="00835FC0">
        <w:rPr>
          <w:rFonts w:cstheme="minorHAnsi"/>
          <w:b/>
          <w:sz w:val="24"/>
          <w:szCs w:val="24"/>
        </w:rPr>
        <w:t>roles and responsibilities</w:t>
      </w:r>
      <w:r w:rsidRPr="00C903B8">
        <w:rPr>
          <w:rFonts w:cstheme="minorHAnsi"/>
          <w:sz w:val="24"/>
          <w:szCs w:val="24"/>
        </w:rPr>
        <w:t xml:space="preserve"> of governments </w:t>
      </w:r>
      <w:r w:rsidR="0033018E">
        <w:rPr>
          <w:rFonts w:cstheme="minorHAnsi"/>
          <w:sz w:val="24"/>
          <w:szCs w:val="24"/>
        </w:rPr>
        <w:t>and the non-government sector</w:t>
      </w:r>
    </w:p>
    <w:p w:rsidR="0033018E" w:rsidRDefault="0033018E" w:rsidP="00A2519B">
      <w:pPr>
        <w:pStyle w:val="ListParagraph"/>
        <w:numPr>
          <w:ilvl w:val="0"/>
          <w:numId w:val="14"/>
        </w:numPr>
        <w:spacing w:after="0" w:line="276" w:lineRule="auto"/>
        <w:rPr>
          <w:rFonts w:cstheme="minorHAnsi"/>
          <w:sz w:val="24"/>
          <w:szCs w:val="24"/>
        </w:rPr>
      </w:pPr>
      <w:r>
        <w:rPr>
          <w:rFonts w:cstheme="minorHAnsi"/>
          <w:sz w:val="24"/>
          <w:szCs w:val="24"/>
        </w:rPr>
        <w:t xml:space="preserve">including an </w:t>
      </w:r>
      <w:r w:rsidRPr="00835FC0">
        <w:rPr>
          <w:rFonts w:cstheme="minorHAnsi"/>
          <w:b/>
          <w:sz w:val="24"/>
          <w:szCs w:val="24"/>
        </w:rPr>
        <w:t>outcomes framework</w:t>
      </w:r>
      <w:r>
        <w:rPr>
          <w:rFonts w:cstheme="minorHAnsi"/>
          <w:sz w:val="24"/>
          <w:szCs w:val="24"/>
        </w:rPr>
        <w:t xml:space="preserve"> to hold governments and providers to account, and track change over time</w:t>
      </w:r>
    </w:p>
    <w:p w:rsidR="003C0947" w:rsidRPr="00C903B8" w:rsidRDefault="0033018E" w:rsidP="00A2519B">
      <w:pPr>
        <w:pStyle w:val="ListParagraph"/>
        <w:numPr>
          <w:ilvl w:val="0"/>
          <w:numId w:val="14"/>
        </w:numPr>
        <w:spacing w:after="0" w:line="276" w:lineRule="auto"/>
        <w:rPr>
          <w:rFonts w:cstheme="minorHAnsi"/>
          <w:sz w:val="24"/>
          <w:szCs w:val="24"/>
        </w:rPr>
      </w:pPr>
      <w:r>
        <w:rPr>
          <w:rFonts w:cstheme="minorHAnsi"/>
          <w:sz w:val="24"/>
          <w:szCs w:val="24"/>
        </w:rPr>
        <w:t xml:space="preserve">improving </w:t>
      </w:r>
      <w:r w:rsidRPr="00835FC0">
        <w:rPr>
          <w:rFonts w:cstheme="minorHAnsi"/>
          <w:b/>
          <w:sz w:val="24"/>
          <w:szCs w:val="24"/>
        </w:rPr>
        <w:t>data collection</w:t>
      </w:r>
      <w:r>
        <w:rPr>
          <w:rFonts w:cstheme="minorHAnsi"/>
          <w:sz w:val="24"/>
          <w:szCs w:val="24"/>
        </w:rPr>
        <w:t xml:space="preserve"> and </w:t>
      </w:r>
      <w:r w:rsidR="003C0947" w:rsidRPr="00835FC0">
        <w:rPr>
          <w:rFonts w:cstheme="minorHAnsi"/>
          <w:b/>
          <w:sz w:val="24"/>
          <w:szCs w:val="24"/>
        </w:rPr>
        <w:t>public reporting</w:t>
      </w:r>
      <w:r w:rsidR="003C0947" w:rsidRPr="00C903B8">
        <w:rPr>
          <w:rFonts w:cstheme="minorHAnsi"/>
          <w:sz w:val="24"/>
          <w:szCs w:val="24"/>
        </w:rPr>
        <w:t xml:space="preserve"> </w:t>
      </w:r>
      <w:r>
        <w:rPr>
          <w:rFonts w:cstheme="minorHAnsi"/>
          <w:sz w:val="24"/>
          <w:szCs w:val="24"/>
        </w:rPr>
        <w:t xml:space="preserve">on progress </w:t>
      </w:r>
      <w:r w:rsidR="003C0947" w:rsidRPr="00C903B8">
        <w:rPr>
          <w:rFonts w:cstheme="minorHAnsi"/>
          <w:sz w:val="24"/>
          <w:szCs w:val="24"/>
        </w:rPr>
        <w:t>t</w:t>
      </w:r>
      <w:r>
        <w:rPr>
          <w:rFonts w:cstheme="minorHAnsi"/>
          <w:sz w:val="24"/>
          <w:szCs w:val="24"/>
        </w:rPr>
        <w:t xml:space="preserve">o ensure action and accountability </w:t>
      </w:r>
    </w:p>
    <w:p w:rsidR="0033018E" w:rsidRDefault="0033018E" w:rsidP="00A2519B">
      <w:pPr>
        <w:pStyle w:val="ListParagraph"/>
        <w:numPr>
          <w:ilvl w:val="0"/>
          <w:numId w:val="14"/>
        </w:numPr>
        <w:spacing w:after="0" w:line="276" w:lineRule="auto"/>
        <w:rPr>
          <w:rFonts w:cstheme="minorHAnsi"/>
          <w:sz w:val="24"/>
          <w:szCs w:val="24"/>
        </w:rPr>
      </w:pPr>
      <w:r>
        <w:rPr>
          <w:rFonts w:cstheme="minorHAnsi"/>
          <w:sz w:val="24"/>
          <w:szCs w:val="24"/>
        </w:rPr>
        <w:t xml:space="preserve">including commitments from governments to </w:t>
      </w:r>
      <w:r w:rsidRPr="00835FC0">
        <w:rPr>
          <w:rFonts w:cstheme="minorHAnsi"/>
          <w:b/>
          <w:sz w:val="24"/>
          <w:szCs w:val="24"/>
        </w:rPr>
        <w:t>evaluate policies and programs</w:t>
      </w:r>
    </w:p>
    <w:p w:rsidR="003C0947" w:rsidRPr="00C903B8" w:rsidRDefault="003C0947" w:rsidP="00A2519B">
      <w:pPr>
        <w:pStyle w:val="ListParagraph"/>
        <w:numPr>
          <w:ilvl w:val="0"/>
          <w:numId w:val="14"/>
        </w:numPr>
        <w:spacing w:after="0" w:line="276" w:lineRule="auto"/>
        <w:rPr>
          <w:rFonts w:cstheme="minorHAnsi"/>
          <w:sz w:val="24"/>
          <w:szCs w:val="24"/>
        </w:rPr>
      </w:pPr>
      <w:r w:rsidRPr="00C903B8">
        <w:rPr>
          <w:rFonts w:cstheme="minorHAnsi"/>
          <w:sz w:val="24"/>
          <w:szCs w:val="24"/>
        </w:rPr>
        <w:t xml:space="preserve">developing </w:t>
      </w:r>
      <w:r w:rsidRPr="00835FC0">
        <w:rPr>
          <w:rFonts w:cstheme="minorHAnsi"/>
          <w:b/>
          <w:sz w:val="24"/>
          <w:szCs w:val="24"/>
        </w:rPr>
        <w:t>targeted action plans</w:t>
      </w:r>
      <w:r w:rsidRPr="00C903B8">
        <w:rPr>
          <w:rFonts w:cstheme="minorHAnsi"/>
          <w:sz w:val="24"/>
          <w:szCs w:val="24"/>
        </w:rPr>
        <w:t xml:space="preserve"> to drive better implementation</w:t>
      </w:r>
    </w:p>
    <w:p w:rsidR="003C0947" w:rsidRPr="00C903B8" w:rsidRDefault="0023694E" w:rsidP="00A2519B">
      <w:pPr>
        <w:pStyle w:val="ListParagraph"/>
        <w:numPr>
          <w:ilvl w:val="0"/>
          <w:numId w:val="14"/>
        </w:numPr>
        <w:spacing w:after="0" w:line="276" w:lineRule="auto"/>
        <w:rPr>
          <w:rFonts w:cstheme="minorHAnsi"/>
          <w:sz w:val="24"/>
          <w:szCs w:val="24"/>
        </w:rPr>
      </w:pPr>
      <w:r>
        <w:rPr>
          <w:rFonts w:cstheme="minorHAnsi"/>
          <w:sz w:val="24"/>
          <w:szCs w:val="24"/>
        </w:rPr>
        <w:lastRenderedPageBreak/>
        <w:t xml:space="preserve">including an </w:t>
      </w:r>
      <w:r w:rsidRPr="00835FC0">
        <w:rPr>
          <w:rFonts w:cstheme="minorHAnsi"/>
          <w:b/>
          <w:sz w:val="24"/>
          <w:szCs w:val="24"/>
        </w:rPr>
        <w:t>Engagement Plan</w:t>
      </w:r>
      <w:r>
        <w:rPr>
          <w:rFonts w:cstheme="minorHAnsi"/>
          <w:sz w:val="24"/>
          <w:szCs w:val="24"/>
        </w:rPr>
        <w:t xml:space="preserve"> to ensure that </w:t>
      </w:r>
      <w:r w:rsidR="003C0947" w:rsidRPr="00C903B8">
        <w:rPr>
          <w:rFonts w:cstheme="minorHAnsi"/>
          <w:sz w:val="24"/>
          <w:szCs w:val="24"/>
        </w:rPr>
        <w:t xml:space="preserve">people with disability </w:t>
      </w:r>
      <w:r>
        <w:rPr>
          <w:rFonts w:cstheme="minorHAnsi"/>
          <w:sz w:val="24"/>
          <w:szCs w:val="24"/>
        </w:rPr>
        <w:t>can actively participate</w:t>
      </w:r>
      <w:r w:rsidR="003C0947" w:rsidRPr="00C903B8">
        <w:rPr>
          <w:rFonts w:cstheme="minorHAnsi"/>
          <w:sz w:val="24"/>
          <w:szCs w:val="24"/>
        </w:rPr>
        <w:t xml:space="preserve"> in the delivery and monitoring of the</w:t>
      </w:r>
      <w:r>
        <w:rPr>
          <w:rFonts w:cstheme="minorHAnsi"/>
          <w:sz w:val="24"/>
          <w:szCs w:val="24"/>
        </w:rPr>
        <w:t xml:space="preserve"> </w:t>
      </w:r>
      <w:r w:rsidR="00CB2E58">
        <w:rPr>
          <w:rFonts w:cstheme="minorHAnsi"/>
          <w:sz w:val="24"/>
          <w:szCs w:val="24"/>
        </w:rPr>
        <w:t>S</w:t>
      </w:r>
      <w:r w:rsidR="003C0947" w:rsidRPr="00C903B8">
        <w:rPr>
          <w:rFonts w:cstheme="minorHAnsi"/>
          <w:sz w:val="24"/>
          <w:szCs w:val="24"/>
        </w:rPr>
        <w:t>trategy.</w:t>
      </w:r>
    </w:p>
    <w:p w:rsidR="007B7D01" w:rsidRDefault="007B7D01">
      <w:pPr>
        <w:spacing w:after="0" w:line="276" w:lineRule="auto"/>
        <w:rPr>
          <w:rFonts w:cstheme="minorHAnsi"/>
          <w:sz w:val="24"/>
          <w:szCs w:val="24"/>
        </w:rPr>
      </w:pPr>
    </w:p>
    <w:p w:rsidR="002E5F1D" w:rsidRDefault="003C0947">
      <w:pPr>
        <w:spacing w:after="0" w:line="276" w:lineRule="auto"/>
        <w:rPr>
          <w:rFonts w:cstheme="minorHAnsi"/>
          <w:sz w:val="24"/>
          <w:szCs w:val="24"/>
        </w:rPr>
      </w:pPr>
      <w:r w:rsidRPr="00C903B8">
        <w:rPr>
          <w:rFonts w:cstheme="minorHAnsi"/>
          <w:sz w:val="24"/>
          <w:szCs w:val="24"/>
        </w:rPr>
        <w:t xml:space="preserve">These proposals </w:t>
      </w:r>
      <w:r w:rsidR="0023694E">
        <w:rPr>
          <w:rFonts w:cstheme="minorHAnsi"/>
          <w:sz w:val="24"/>
          <w:szCs w:val="24"/>
        </w:rPr>
        <w:t xml:space="preserve">seek to </w:t>
      </w:r>
      <w:r w:rsidRPr="00C903B8">
        <w:rPr>
          <w:rFonts w:cstheme="minorHAnsi"/>
          <w:sz w:val="24"/>
          <w:szCs w:val="24"/>
        </w:rPr>
        <w:t xml:space="preserve">address </w:t>
      </w:r>
      <w:r w:rsidR="0023694E">
        <w:rPr>
          <w:rFonts w:cstheme="minorHAnsi"/>
          <w:sz w:val="24"/>
          <w:szCs w:val="24"/>
        </w:rPr>
        <w:t xml:space="preserve">a number of the </w:t>
      </w:r>
      <w:r w:rsidR="00CA18DC">
        <w:rPr>
          <w:rFonts w:cstheme="minorHAnsi"/>
          <w:sz w:val="24"/>
          <w:szCs w:val="24"/>
        </w:rPr>
        <w:t>limitations</w:t>
      </w:r>
      <w:r w:rsidR="0093387E" w:rsidRPr="00C903B8">
        <w:rPr>
          <w:rFonts w:cstheme="minorHAnsi"/>
          <w:sz w:val="24"/>
          <w:szCs w:val="24"/>
        </w:rPr>
        <w:t xml:space="preserve"> </w:t>
      </w:r>
      <w:r w:rsidR="0023694E">
        <w:rPr>
          <w:rFonts w:cstheme="minorHAnsi"/>
          <w:sz w:val="24"/>
          <w:szCs w:val="24"/>
        </w:rPr>
        <w:t xml:space="preserve">that have been </w:t>
      </w:r>
      <w:r w:rsidRPr="00C903B8">
        <w:rPr>
          <w:rFonts w:cstheme="minorHAnsi"/>
          <w:sz w:val="24"/>
          <w:szCs w:val="24"/>
        </w:rPr>
        <w:t xml:space="preserve">identified in reviews </w:t>
      </w:r>
      <w:r w:rsidR="0023694E">
        <w:rPr>
          <w:rFonts w:cstheme="minorHAnsi"/>
          <w:sz w:val="24"/>
          <w:szCs w:val="24"/>
        </w:rPr>
        <w:t>of</w:t>
      </w:r>
      <w:r w:rsidRPr="00C903B8">
        <w:rPr>
          <w:rFonts w:cstheme="minorHAnsi"/>
          <w:sz w:val="24"/>
          <w:szCs w:val="24"/>
        </w:rPr>
        <w:t xml:space="preserve"> the current </w:t>
      </w:r>
      <w:r w:rsidR="00CB2E58">
        <w:rPr>
          <w:rFonts w:cstheme="minorHAnsi"/>
          <w:sz w:val="24"/>
          <w:szCs w:val="24"/>
        </w:rPr>
        <w:t>S</w:t>
      </w:r>
      <w:r w:rsidRPr="00C903B8">
        <w:rPr>
          <w:rFonts w:cstheme="minorHAnsi"/>
          <w:sz w:val="24"/>
          <w:szCs w:val="24"/>
        </w:rPr>
        <w:t>trategy.</w:t>
      </w:r>
      <w:r w:rsidR="00D7534D" w:rsidDel="00F77607">
        <w:rPr>
          <w:rFonts w:cstheme="minorHAnsi"/>
          <w:sz w:val="24"/>
          <w:szCs w:val="24"/>
        </w:rPr>
        <w:t xml:space="preserve"> </w:t>
      </w:r>
    </w:p>
    <w:p w:rsidR="002E5F1D" w:rsidRDefault="002E5F1D" w:rsidP="003D3791">
      <w:pPr>
        <w:spacing w:after="0" w:line="276" w:lineRule="auto"/>
        <w:rPr>
          <w:rFonts w:eastAsiaTheme="majorEastAsia" w:cstheme="minorHAnsi"/>
          <w:color w:val="2E74B5" w:themeColor="accent1" w:themeShade="BF"/>
          <w:sz w:val="24"/>
          <w:szCs w:val="24"/>
        </w:rPr>
      </w:pPr>
    </w:p>
    <w:sectPr w:rsidR="002E5F1D" w:rsidSect="005455CE">
      <w:footerReference w:type="default" r:id="rId19"/>
      <w:pgSz w:w="11906" w:h="16838"/>
      <w:pgMar w:top="964" w:right="851" w:bottom="96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E5" w:rsidRDefault="003761E5" w:rsidP="00BE7F98">
      <w:pPr>
        <w:spacing w:after="0" w:line="240" w:lineRule="auto"/>
      </w:pPr>
      <w:r>
        <w:separator/>
      </w:r>
    </w:p>
  </w:endnote>
  <w:endnote w:type="continuationSeparator" w:id="0">
    <w:p w:rsidR="003761E5" w:rsidRDefault="003761E5" w:rsidP="00BE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F1" w:rsidRPr="00CB05BC" w:rsidRDefault="00421BF1" w:rsidP="00D84856">
    <w:pPr>
      <w:pStyle w:val="Footer"/>
      <w:pBdr>
        <w:top w:val="single" w:sz="2" w:space="1" w:color="000000" w:themeColor="text1"/>
      </w:pBdr>
      <w:ind w:left="-284" w:right="-2"/>
      <w:jc w:val="center"/>
      <w:rPr>
        <w:sz w:val="16"/>
        <w:szCs w:val="16"/>
      </w:rPr>
    </w:pPr>
    <w:r w:rsidRPr="0038695C">
      <w:rPr>
        <w:rFonts w:cs="Arial"/>
        <w:noProof/>
        <w:color w:val="5B9BD5"/>
        <w:sz w:val="16"/>
        <w:szCs w:val="16"/>
        <w:lang w:eastAsia="en-AU"/>
      </w:rPr>
      <w:drawing>
        <wp:anchor distT="0" distB="0" distL="114300" distR="114300" simplePos="0" relativeHeight="251659264" behindDoc="1" locked="0" layoutInCell="1" allowOverlap="1" wp14:anchorId="21809953" wp14:editId="0FF73227">
          <wp:simplePos x="0" y="0"/>
          <wp:positionH relativeFrom="margin">
            <wp:posOffset>-301625</wp:posOffset>
          </wp:positionH>
          <wp:positionV relativeFrom="paragraph">
            <wp:posOffset>-98244</wp:posOffset>
          </wp:positionV>
          <wp:extent cx="424180" cy="457200"/>
          <wp:effectExtent l="0" t="0" r="0" b="0"/>
          <wp:wrapTight wrapText="bothSides">
            <wp:wrapPolygon edited="0">
              <wp:start x="5820" y="0"/>
              <wp:lineTo x="0" y="4200"/>
              <wp:lineTo x="0" y="21000"/>
              <wp:lineTo x="20695" y="21000"/>
              <wp:lineTo x="20695" y="4200"/>
              <wp:lineTo x="14874" y="0"/>
              <wp:lineTo x="5820" y="0"/>
            </wp:wrapPolygon>
          </wp:wrapTight>
          <wp:docPr id="2" name="Picture 11" descr="A picture containing foo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 picture containing foo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62325393"/>
        <w:docPartObj>
          <w:docPartGallery w:val="Page Numbers (Bottom of Page)"/>
          <w:docPartUnique/>
        </w:docPartObj>
      </w:sdtPr>
      <w:sdtEndPr>
        <w:rPr>
          <w:noProof/>
          <w:sz w:val="16"/>
          <w:szCs w:val="16"/>
        </w:rPr>
      </w:sdtEndPr>
      <w:sdtContent>
        <w:r w:rsidRPr="00CB05BC">
          <w:rPr>
            <w:sz w:val="16"/>
            <w:szCs w:val="16"/>
          </w:rPr>
          <w:fldChar w:fldCharType="begin"/>
        </w:r>
        <w:r w:rsidRPr="00CB05BC">
          <w:rPr>
            <w:sz w:val="16"/>
            <w:szCs w:val="16"/>
          </w:rPr>
          <w:instrText xml:space="preserve"> PAGE   \* MERGEFORMAT </w:instrText>
        </w:r>
        <w:r w:rsidRPr="00CB05BC">
          <w:rPr>
            <w:sz w:val="16"/>
            <w:szCs w:val="16"/>
          </w:rPr>
          <w:fldChar w:fldCharType="separate"/>
        </w:r>
        <w:r w:rsidR="00BC5AE8">
          <w:rPr>
            <w:noProof/>
            <w:sz w:val="16"/>
            <w:szCs w:val="16"/>
          </w:rPr>
          <w:t>18</w:t>
        </w:r>
        <w:r w:rsidRPr="00CB05BC">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E5" w:rsidRDefault="003761E5" w:rsidP="00BE7F98">
      <w:pPr>
        <w:spacing w:after="0" w:line="240" w:lineRule="auto"/>
      </w:pPr>
      <w:r>
        <w:separator/>
      </w:r>
    </w:p>
  </w:footnote>
  <w:footnote w:type="continuationSeparator" w:id="0">
    <w:p w:rsidR="003761E5" w:rsidRDefault="003761E5" w:rsidP="00BE7F98">
      <w:pPr>
        <w:spacing w:after="0" w:line="240" w:lineRule="auto"/>
      </w:pPr>
      <w:r>
        <w:continuationSeparator/>
      </w:r>
    </w:p>
  </w:footnote>
  <w:footnote w:id="1">
    <w:p w:rsidR="00421BF1" w:rsidRDefault="00421BF1">
      <w:pPr>
        <w:pStyle w:val="FootnoteText"/>
      </w:pPr>
      <w:r>
        <w:rPr>
          <w:rStyle w:val="FootnoteReference"/>
        </w:rPr>
        <w:footnoteRef/>
      </w:r>
      <w:r>
        <w:t xml:space="preserve"> </w:t>
      </w:r>
      <w:r w:rsidRPr="00835FC0">
        <w:rPr>
          <w:i/>
        </w:rPr>
        <w:t>Ageing and Disability Commissioner Act 2019</w:t>
      </w:r>
      <w:r>
        <w:t>, section 12(1)(h)</w:t>
      </w:r>
    </w:p>
  </w:footnote>
  <w:footnote w:id="2">
    <w:p w:rsidR="00421BF1" w:rsidRDefault="00421BF1" w:rsidP="00D868B4">
      <w:pPr>
        <w:pStyle w:val="FootnoteText"/>
      </w:pPr>
      <w:r>
        <w:rPr>
          <w:rStyle w:val="FootnoteReference"/>
        </w:rPr>
        <w:footnoteRef/>
      </w:r>
      <w:r>
        <w:t xml:space="preserve"> </w:t>
      </w:r>
      <w:r w:rsidRPr="00D77563">
        <w:rPr>
          <w:i/>
        </w:rPr>
        <w:t>Review of implementation of the National Disability Strategy 2010-2020, Final report</w:t>
      </w:r>
      <w:r>
        <w:t>, University of NSW prepared for the Commonwealth Department of Social Services, August 2018, p7.</w:t>
      </w:r>
    </w:p>
  </w:footnote>
  <w:footnote w:id="3">
    <w:p w:rsidR="00421BF1" w:rsidRPr="00C5653C" w:rsidRDefault="00421BF1" w:rsidP="00D868B4">
      <w:pPr>
        <w:pStyle w:val="FootnoteText"/>
        <w:rPr>
          <w:lang w:val="en-US"/>
        </w:rPr>
      </w:pPr>
      <w:r w:rsidRPr="007C6E30">
        <w:rPr>
          <w:rStyle w:val="FootnoteReference"/>
        </w:rPr>
        <w:footnoteRef/>
      </w:r>
      <w:r w:rsidRPr="007C6E30">
        <w:t xml:space="preserve"> </w:t>
      </w:r>
      <w:r w:rsidRPr="002B119A">
        <w:rPr>
          <w:rFonts w:cs="Calibri"/>
          <w:i/>
        </w:rPr>
        <w:t>National Disability Strategy</w:t>
      </w:r>
      <w:r>
        <w:rPr>
          <w:rFonts w:cs="Calibri"/>
          <w:i/>
        </w:rPr>
        <w:t xml:space="preserve"> </w:t>
      </w:r>
      <w:r w:rsidRPr="002B119A">
        <w:rPr>
          <w:rFonts w:cs="Calibri"/>
          <w:i/>
        </w:rPr>
        <w:t>2010-2020</w:t>
      </w:r>
      <w:r>
        <w:rPr>
          <w:rFonts w:cs="Calibri"/>
        </w:rPr>
        <w:t>,</w:t>
      </w:r>
      <w:r w:rsidRPr="002B119A">
        <w:rPr>
          <w:rFonts w:cs="Calibri"/>
          <w:i/>
        </w:rPr>
        <w:t xml:space="preserve"> </w:t>
      </w:r>
      <w:r>
        <w:rPr>
          <w:rFonts w:cs="Calibri"/>
        </w:rPr>
        <w:t xml:space="preserve">An Initiative of the Council of Australian Governments, Commonwealth of Australia 2011 </w:t>
      </w:r>
      <w:r w:rsidRPr="002B119A">
        <w:rPr>
          <w:rFonts w:cs="Calibri"/>
        </w:rPr>
        <w:t>p8</w:t>
      </w:r>
      <w:r>
        <w:rPr>
          <w:rFonts w:cs="Calibri"/>
        </w:rPr>
        <w:t>.</w:t>
      </w:r>
    </w:p>
  </w:footnote>
  <w:footnote w:id="4">
    <w:p w:rsidR="00421BF1" w:rsidRDefault="00421BF1">
      <w:pPr>
        <w:pStyle w:val="FootnoteText"/>
      </w:pPr>
      <w:r>
        <w:rPr>
          <w:rStyle w:val="FootnoteReference"/>
        </w:rPr>
        <w:footnoteRef/>
      </w:r>
      <w:r>
        <w:t xml:space="preserve"> </w:t>
      </w:r>
      <w:r w:rsidRPr="00D77563">
        <w:rPr>
          <w:i/>
        </w:rPr>
        <w:t>Review of implementation of the National Disability Strategy 2010-2020, Final report</w:t>
      </w:r>
      <w:r>
        <w:t>, University of NSW prepared for the Commonwealth Department of Social Services, August 2018, p13.</w:t>
      </w:r>
    </w:p>
  </w:footnote>
  <w:footnote w:id="5">
    <w:p w:rsidR="00421BF1" w:rsidRPr="002B6885" w:rsidRDefault="00421BF1" w:rsidP="009A5DF3">
      <w:pPr>
        <w:pStyle w:val="FootnoteText"/>
        <w:rPr>
          <w:lang w:val="en-US"/>
        </w:rPr>
      </w:pPr>
      <w:r>
        <w:rPr>
          <w:rStyle w:val="FootnoteReference"/>
        </w:rPr>
        <w:footnoteRef/>
      </w:r>
      <w:r>
        <w:t xml:space="preserve"> </w:t>
      </w:r>
      <w:r w:rsidRPr="00AC74ED">
        <w:rPr>
          <w:rFonts w:cstheme="minorHAnsi"/>
          <w:i/>
        </w:rPr>
        <w:t>Research and Data Working Group Terms of Reference</w:t>
      </w:r>
      <w:r w:rsidRPr="00C5653C">
        <w:rPr>
          <w:rFonts w:cstheme="minorHAnsi"/>
        </w:rPr>
        <w:t xml:space="preserve">, </w:t>
      </w:r>
      <w:r>
        <w:rPr>
          <w:rFonts w:cstheme="minorHAnsi"/>
        </w:rPr>
        <w:t xml:space="preserve">Australian Government, Department of Social Services, </w:t>
      </w:r>
      <w:r w:rsidRPr="00C5653C">
        <w:rPr>
          <w:rFonts w:cstheme="minorHAnsi"/>
        </w:rPr>
        <w:t>p1</w:t>
      </w:r>
      <w:r>
        <w:rPr>
          <w:rFonts w:cstheme="minorHAnsi"/>
        </w:rPr>
        <w:t>.</w:t>
      </w:r>
    </w:p>
  </w:footnote>
  <w:footnote w:id="6">
    <w:p w:rsidR="00421BF1" w:rsidRPr="00621FC6" w:rsidRDefault="00421BF1" w:rsidP="009A5DF3">
      <w:pPr>
        <w:pStyle w:val="FootnoteText"/>
        <w:rPr>
          <w:lang w:val="en-US"/>
        </w:rPr>
      </w:pPr>
      <w:r>
        <w:rPr>
          <w:rStyle w:val="FootnoteReference"/>
        </w:rPr>
        <w:footnoteRef/>
      </w:r>
      <w:r>
        <w:t xml:space="preserve"> Verbal </w:t>
      </w:r>
      <w:r>
        <w:rPr>
          <w:lang w:val="en-US"/>
        </w:rPr>
        <w:t xml:space="preserve">advice from DCJ to ADC, </w:t>
      </w:r>
      <w:r w:rsidRPr="00352FF9">
        <w:rPr>
          <w:rFonts w:cstheme="minorHAnsi"/>
        </w:rPr>
        <w:t>4 May 2020</w:t>
      </w:r>
      <w:r>
        <w:rPr>
          <w:rFonts w:cstheme="minorHAnsi"/>
        </w:rPr>
        <w:t>.</w:t>
      </w:r>
    </w:p>
  </w:footnote>
  <w:footnote w:id="7">
    <w:p w:rsidR="00421BF1" w:rsidRPr="0098142C" w:rsidRDefault="00421BF1" w:rsidP="009A10C1">
      <w:pPr>
        <w:pStyle w:val="FootnoteText"/>
      </w:pPr>
      <w:r>
        <w:rPr>
          <w:rStyle w:val="FootnoteReference"/>
        </w:rPr>
        <w:footnoteRef/>
      </w:r>
      <w:r>
        <w:t xml:space="preserve"> </w:t>
      </w:r>
      <w:r w:rsidRPr="00D77563">
        <w:rPr>
          <w:i/>
        </w:rPr>
        <w:t>Review of implementation of the National Disability Strategy 2010-2020, Final report</w:t>
      </w:r>
      <w:r>
        <w:t xml:space="preserve">, University of NSW prepared for the </w:t>
      </w:r>
      <w:r w:rsidRPr="0098142C">
        <w:t>Commonwealth Department of Social Services, August 2018, p20.</w:t>
      </w:r>
    </w:p>
  </w:footnote>
  <w:footnote w:id="8">
    <w:p w:rsidR="00421BF1" w:rsidRPr="0098142C" w:rsidRDefault="00421BF1" w:rsidP="009A10C1">
      <w:pPr>
        <w:pStyle w:val="FootnoteText"/>
        <w:rPr>
          <w:lang w:val="en-US"/>
        </w:rPr>
      </w:pPr>
      <w:r w:rsidRPr="0098142C">
        <w:rPr>
          <w:rStyle w:val="FootnoteReference"/>
        </w:rPr>
        <w:footnoteRef/>
      </w:r>
      <w:r w:rsidRPr="0098142C">
        <w:rPr>
          <w:rFonts w:cstheme="minorHAnsi"/>
        </w:rPr>
        <w:t xml:space="preserve"> Productivity Commission 2019, </w:t>
      </w:r>
      <w:r w:rsidRPr="0098142C">
        <w:rPr>
          <w:rFonts w:cstheme="minorHAnsi"/>
          <w:i/>
        </w:rPr>
        <w:t>Review of the National Disability Agreement,</w:t>
      </w:r>
      <w:r w:rsidRPr="0098142C">
        <w:rPr>
          <w:rFonts w:cstheme="minorHAnsi"/>
        </w:rPr>
        <w:t xml:space="preserve"> Study Report, Canberra, p6</w:t>
      </w:r>
    </w:p>
  </w:footnote>
  <w:footnote w:id="9">
    <w:p w:rsidR="00421BF1" w:rsidRPr="0098142C" w:rsidRDefault="00421BF1" w:rsidP="0076041F">
      <w:pPr>
        <w:pStyle w:val="FootnoteText"/>
      </w:pPr>
      <w:r w:rsidRPr="0098142C">
        <w:rPr>
          <w:rStyle w:val="FootnoteReference"/>
        </w:rPr>
        <w:footnoteRef/>
      </w:r>
      <w:r w:rsidRPr="0098142C">
        <w:t xml:space="preserve"> </w:t>
      </w:r>
      <w:r w:rsidRPr="0098142C">
        <w:rPr>
          <w:rFonts w:cstheme="minorHAnsi"/>
        </w:rPr>
        <w:t xml:space="preserve">Productivity Commission 2019, </w:t>
      </w:r>
      <w:r w:rsidRPr="0098142C">
        <w:rPr>
          <w:rFonts w:cstheme="minorHAnsi"/>
          <w:i/>
        </w:rPr>
        <w:t>Review of the National Disability Agreement,</w:t>
      </w:r>
      <w:r w:rsidRPr="0098142C">
        <w:rPr>
          <w:rFonts w:cstheme="minorHAnsi"/>
        </w:rPr>
        <w:t xml:space="preserve"> Study Report, Canberra</w:t>
      </w:r>
      <w:r w:rsidRPr="0098142C">
        <w:t xml:space="preserve"> p191-204</w:t>
      </w:r>
    </w:p>
  </w:footnote>
  <w:footnote w:id="10">
    <w:p w:rsidR="00421BF1" w:rsidRPr="0098142C" w:rsidRDefault="00421BF1" w:rsidP="002E302B">
      <w:pPr>
        <w:pStyle w:val="FootnoteText"/>
      </w:pPr>
      <w:r w:rsidRPr="0098142C">
        <w:rPr>
          <w:rStyle w:val="FootnoteReference"/>
        </w:rPr>
        <w:footnoteRef/>
      </w:r>
      <w:r w:rsidRPr="0098142C">
        <w:t xml:space="preserve"> </w:t>
      </w:r>
      <w:r w:rsidRPr="0098142C">
        <w:rPr>
          <w:rFonts w:cstheme="minorHAnsi"/>
        </w:rPr>
        <w:t xml:space="preserve">Productivity Commission 2019, </w:t>
      </w:r>
      <w:r w:rsidRPr="0098142C">
        <w:rPr>
          <w:rFonts w:cstheme="minorHAnsi"/>
          <w:i/>
        </w:rPr>
        <w:t>Review of the National Disability Agreement,</w:t>
      </w:r>
      <w:r w:rsidRPr="0098142C">
        <w:rPr>
          <w:rFonts w:cstheme="minorHAnsi"/>
        </w:rPr>
        <w:t xml:space="preserve"> Study Report, Canberra</w:t>
      </w:r>
      <w:r w:rsidRPr="0098142C">
        <w:t>, p29</w:t>
      </w:r>
    </w:p>
  </w:footnote>
  <w:footnote w:id="11">
    <w:p w:rsidR="00421BF1" w:rsidRPr="00886497" w:rsidRDefault="00421BF1" w:rsidP="002E302B">
      <w:pPr>
        <w:pStyle w:val="FootnoteText"/>
        <w:rPr>
          <w:lang w:val="en-US"/>
        </w:rPr>
      </w:pPr>
      <w:r w:rsidRPr="0098142C">
        <w:rPr>
          <w:rStyle w:val="FootnoteReference"/>
        </w:rPr>
        <w:footnoteRef/>
      </w:r>
      <w:r w:rsidRPr="0098142C">
        <w:t xml:space="preserve"> </w:t>
      </w:r>
      <w:r w:rsidRPr="0098142C">
        <w:rPr>
          <w:rFonts w:cstheme="minorHAnsi"/>
        </w:rPr>
        <w:t xml:space="preserve">Productivity Commission 2019, </w:t>
      </w:r>
      <w:r w:rsidRPr="0098142C">
        <w:rPr>
          <w:rFonts w:cstheme="minorHAnsi"/>
          <w:i/>
        </w:rPr>
        <w:t>Review of the National Disability Agreement,</w:t>
      </w:r>
      <w:r w:rsidRPr="0098142C">
        <w:rPr>
          <w:rFonts w:cstheme="minorHAnsi"/>
        </w:rPr>
        <w:t xml:space="preserve"> Study Report, Canberra</w:t>
      </w:r>
      <w:r w:rsidRPr="0098142C" w:rsidDel="00153162">
        <w:rPr>
          <w:rFonts w:cstheme="minorHAnsi"/>
        </w:rPr>
        <w:t xml:space="preserve"> </w:t>
      </w:r>
      <w:r w:rsidRPr="0098142C">
        <w:t>p30-31.</w:t>
      </w:r>
    </w:p>
  </w:footnote>
  <w:footnote w:id="12">
    <w:p w:rsidR="00421BF1" w:rsidRDefault="00421BF1" w:rsidP="002E302B">
      <w:pPr>
        <w:pStyle w:val="FootnoteText"/>
      </w:pPr>
      <w:r w:rsidRPr="0098142C">
        <w:rPr>
          <w:rStyle w:val="FootnoteReference"/>
        </w:rPr>
        <w:footnoteRef/>
      </w:r>
      <w:r w:rsidRPr="0098142C">
        <w:t xml:space="preserve"> </w:t>
      </w:r>
      <w:hyperlink r:id="rId1" w:anchor="report" w:history="1">
        <w:r w:rsidRPr="009004B9">
          <w:rPr>
            <w:rStyle w:val="Hyperlink"/>
          </w:rPr>
          <w:t>Productivity Commission Disability Agreement Report</w:t>
        </w:r>
      </w:hyperlink>
      <w:r>
        <w:t xml:space="preserve"> </w:t>
      </w:r>
    </w:p>
  </w:footnote>
  <w:footnote w:id="13">
    <w:p w:rsidR="00421BF1" w:rsidRDefault="00421BF1" w:rsidP="002E302B">
      <w:pPr>
        <w:pStyle w:val="FootnoteText"/>
      </w:pPr>
      <w:r>
        <w:rPr>
          <w:rStyle w:val="FootnoteReference"/>
        </w:rPr>
        <w:footnoteRef/>
      </w:r>
      <w:r>
        <w:t xml:space="preserve"> Productivity Performance Reporting Dashboard </w:t>
      </w:r>
      <w:r w:rsidRPr="001D057E">
        <w:t>https://performancedashboard.d61.io/disability_nsw</w:t>
      </w:r>
    </w:p>
  </w:footnote>
  <w:footnote w:id="14">
    <w:p w:rsidR="00421BF1" w:rsidRDefault="00421BF1">
      <w:pPr>
        <w:pStyle w:val="FootnoteText"/>
      </w:pPr>
      <w:r>
        <w:rPr>
          <w:rStyle w:val="FootnoteReference"/>
        </w:rPr>
        <w:footnoteRef/>
      </w:r>
      <w:r>
        <w:t xml:space="preserve"> </w:t>
      </w:r>
      <w:hyperlink r:id="rId2" w:history="1">
        <w:r w:rsidRPr="002F7257">
          <w:rPr>
            <w:rStyle w:val="Hyperlink"/>
          </w:rPr>
          <w:t>Australian Bureau of Statistics, General Social Survey</w:t>
        </w:r>
      </w:hyperlink>
      <w:r>
        <w:t xml:space="preserve"> </w:t>
      </w:r>
    </w:p>
  </w:footnote>
  <w:footnote w:id="15">
    <w:p w:rsidR="00421BF1" w:rsidRDefault="00421BF1">
      <w:pPr>
        <w:pStyle w:val="FootnoteText"/>
      </w:pPr>
      <w:r>
        <w:rPr>
          <w:rStyle w:val="FootnoteReference"/>
        </w:rPr>
        <w:footnoteRef/>
      </w:r>
      <w:r>
        <w:t xml:space="preserve"> </w:t>
      </w:r>
      <w:hyperlink r:id="rId3" w:history="1">
        <w:r w:rsidRPr="002F7257">
          <w:rPr>
            <w:rStyle w:val="Hyperlink"/>
          </w:rPr>
          <w:t>Australian Bureau of Statistics, Personal Safety</w:t>
        </w:r>
      </w:hyperlink>
      <w:r>
        <w:t xml:space="preserve"> </w:t>
      </w:r>
    </w:p>
  </w:footnote>
  <w:footnote w:id="16">
    <w:p w:rsidR="00421BF1" w:rsidRDefault="00421BF1">
      <w:pPr>
        <w:pStyle w:val="FootnoteText"/>
      </w:pPr>
      <w:r>
        <w:rPr>
          <w:rStyle w:val="FootnoteReference"/>
        </w:rPr>
        <w:footnoteRef/>
      </w:r>
      <w:r>
        <w:t xml:space="preserve"> </w:t>
      </w:r>
      <w:hyperlink r:id="rId4" w:history="1">
        <w:r w:rsidRPr="002F7257">
          <w:rPr>
            <w:rStyle w:val="Hyperlink"/>
          </w:rPr>
          <w:t>Australian Bureau of Statistics, Disability, Ageing and Carers</w:t>
        </w:r>
      </w:hyperlink>
    </w:p>
  </w:footnote>
  <w:footnote w:id="17">
    <w:p w:rsidR="00421BF1" w:rsidRDefault="00421BF1">
      <w:pPr>
        <w:pStyle w:val="FootnoteText"/>
      </w:pPr>
      <w:r>
        <w:rPr>
          <w:rStyle w:val="FootnoteReference"/>
        </w:rPr>
        <w:footnoteRef/>
      </w:r>
      <w:r>
        <w:t xml:space="preserve"> </w:t>
      </w:r>
      <w:r w:rsidRPr="00356A2C">
        <w:rPr>
          <w:rFonts w:cstheme="minorHAnsi"/>
          <w:i/>
        </w:rPr>
        <w:t xml:space="preserve">Review of the NSW Disability Inclusion </w:t>
      </w:r>
      <w:r>
        <w:rPr>
          <w:rFonts w:cstheme="minorHAnsi"/>
          <w:i/>
        </w:rPr>
        <w:t>P</w:t>
      </w:r>
      <w:r w:rsidRPr="00356A2C">
        <w:rPr>
          <w:rFonts w:cstheme="minorHAnsi"/>
          <w:i/>
        </w:rPr>
        <w:t>lan 2018</w:t>
      </w:r>
      <w:r>
        <w:rPr>
          <w:rFonts w:cstheme="minorHAnsi"/>
          <w:i/>
        </w:rPr>
        <w:t xml:space="preserve"> –</w:t>
      </w:r>
      <w:r w:rsidRPr="00356A2C">
        <w:rPr>
          <w:rFonts w:cstheme="minorHAnsi"/>
          <w:i/>
        </w:rPr>
        <w:t xml:space="preserve"> Final report June 2019</w:t>
      </w:r>
      <w:r>
        <w:rPr>
          <w:rFonts w:cstheme="minorHAnsi"/>
        </w:rPr>
        <w:t>, p7</w:t>
      </w:r>
    </w:p>
  </w:footnote>
  <w:footnote w:id="18">
    <w:p w:rsidR="00421BF1" w:rsidRPr="00356A2C" w:rsidRDefault="00421BF1" w:rsidP="001D0671">
      <w:pPr>
        <w:pStyle w:val="FootnoteText"/>
        <w:rPr>
          <w:lang w:val="en-US"/>
        </w:rPr>
      </w:pPr>
      <w:r>
        <w:rPr>
          <w:rStyle w:val="FootnoteReference"/>
        </w:rPr>
        <w:footnoteRef/>
      </w:r>
      <w:r>
        <w:t xml:space="preserve"> </w:t>
      </w:r>
      <w:r w:rsidRPr="00356A2C">
        <w:rPr>
          <w:rFonts w:cstheme="minorHAnsi"/>
          <w:i/>
        </w:rPr>
        <w:t xml:space="preserve">Review of the NSW Disability Inclusion </w:t>
      </w:r>
      <w:r>
        <w:rPr>
          <w:rFonts w:cstheme="minorHAnsi"/>
          <w:i/>
        </w:rPr>
        <w:t>P</w:t>
      </w:r>
      <w:r w:rsidRPr="00356A2C">
        <w:rPr>
          <w:rFonts w:cstheme="minorHAnsi"/>
          <w:i/>
        </w:rPr>
        <w:t>lan 2018</w:t>
      </w:r>
      <w:r>
        <w:rPr>
          <w:rFonts w:cstheme="minorHAnsi"/>
          <w:i/>
        </w:rPr>
        <w:t xml:space="preserve"> – </w:t>
      </w:r>
      <w:r w:rsidRPr="00356A2C">
        <w:rPr>
          <w:rFonts w:cstheme="minorHAnsi"/>
          <w:i/>
        </w:rPr>
        <w:t>Final report June 2019</w:t>
      </w:r>
      <w:r>
        <w:rPr>
          <w:rFonts w:cstheme="minorHAnsi"/>
        </w:rPr>
        <w:t>, p8.</w:t>
      </w:r>
    </w:p>
  </w:footnote>
  <w:footnote w:id="19">
    <w:p w:rsidR="00421BF1" w:rsidRPr="00356A2C" w:rsidRDefault="00421BF1" w:rsidP="001D0671">
      <w:pPr>
        <w:pStyle w:val="FootnoteText"/>
        <w:rPr>
          <w:lang w:val="en-US"/>
        </w:rPr>
      </w:pPr>
      <w:r>
        <w:rPr>
          <w:rStyle w:val="FootnoteReference"/>
        </w:rPr>
        <w:footnoteRef/>
      </w:r>
      <w:r>
        <w:t xml:space="preserve"> </w:t>
      </w:r>
      <w:r w:rsidRPr="00356A2C">
        <w:rPr>
          <w:rFonts w:cstheme="minorHAnsi"/>
          <w:i/>
        </w:rPr>
        <w:t xml:space="preserve">Review of the NSW Disability Inclusion </w:t>
      </w:r>
      <w:r>
        <w:rPr>
          <w:rFonts w:cstheme="minorHAnsi"/>
          <w:i/>
        </w:rPr>
        <w:t>P</w:t>
      </w:r>
      <w:r w:rsidRPr="00356A2C">
        <w:rPr>
          <w:rFonts w:cstheme="minorHAnsi"/>
          <w:i/>
        </w:rPr>
        <w:t>lan 2018</w:t>
      </w:r>
      <w:r>
        <w:rPr>
          <w:rFonts w:cstheme="minorHAnsi"/>
          <w:i/>
        </w:rPr>
        <w:t xml:space="preserve"> –</w:t>
      </w:r>
      <w:r w:rsidRPr="00356A2C">
        <w:rPr>
          <w:rFonts w:cstheme="minorHAnsi"/>
          <w:i/>
        </w:rPr>
        <w:t xml:space="preserve"> Final report June</w:t>
      </w:r>
      <w:r w:rsidRPr="00356A2C">
        <w:rPr>
          <w:rFonts w:cstheme="minorHAnsi"/>
        </w:rPr>
        <w:t xml:space="preserve"> </w:t>
      </w:r>
      <w:r w:rsidRPr="00835FC0">
        <w:rPr>
          <w:rFonts w:cstheme="minorHAnsi"/>
          <w:i/>
        </w:rPr>
        <w:t>2019</w:t>
      </w:r>
      <w:r>
        <w:rPr>
          <w:rFonts w:cstheme="minorHAnsi"/>
        </w:rPr>
        <w:t>, p8.</w:t>
      </w:r>
    </w:p>
  </w:footnote>
  <w:footnote w:id="20">
    <w:p w:rsidR="00421BF1" w:rsidRDefault="00421BF1" w:rsidP="009B5E64">
      <w:pPr>
        <w:pStyle w:val="FootnoteText"/>
      </w:pPr>
      <w:r>
        <w:rPr>
          <w:rStyle w:val="FootnoteReference"/>
        </w:rPr>
        <w:footnoteRef/>
      </w:r>
      <w:r>
        <w:t xml:space="preserve"> Productivity Commission 2019, </w:t>
      </w:r>
      <w:r>
        <w:rPr>
          <w:i/>
        </w:rPr>
        <w:t>Review of the National Disability Agreement,</w:t>
      </w:r>
      <w:r>
        <w:t xml:space="preserve"> Study Report, Canberra, p6</w:t>
      </w:r>
    </w:p>
  </w:footnote>
  <w:footnote w:id="21">
    <w:p w:rsidR="00421BF1" w:rsidRDefault="00421BF1" w:rsidP="001D0671">
      <w:pPr>
        <w:pStyle w:val="FootnoteText"/>
      </w:pPr>
      <w:r>
        <w:rPr>
          <w:rStyle w:val="FootnoteReference"/>
        </w:rPr>
        <w:footnoteRef/>
      </w:r>
      <w:r>
        <w:t xml:space="preserve"> </w:t>
      </w:r>
      <w:r w:rsidRPr="006B0347">
        <w:rPr>
          <w:i/>
        </w:rPr>
        <w:t>Delivery of outcomes under the National Disability Strategy 2010-2020 to build inclusive and accessible communities</w:t>
      </w:r>
      <w:r>
        <w:t>, the Senate Community Affairs References Committee Report, November 2017, p29.</w:t>
      </w:r>
    </w:p>
  </w:footnote>
  <w:footnote w:id="22">
    <w:p w:rsidR="00421BF1" w:rsidRDefault="00421BF1" w:rsidP="001D0671">
      <w:pPr>
        <w:pStyle w:val="FootnoteText"/>
      </w:pPr>
      <w:r>
        <w:rPr>
          <w:rStyle w:val="FootnoteReference"/>
        </w:rPr>
        <w:footnoteRef/>
      </w:r>
      <w:r>
        <w:t xml:space="preserve"> Australian Government Response to the Senate Community Affairs References Committee Report, March 2018, p2.</w:t>
      </w:r>
    </w:p>
  </w:footnote>
  <w:footnote w:id="23">
    <w:p w:rsidR="00421BF1" w:rsidRPr="004F15DA" w:rsidRDefault="00421BF1" w:rsidP="003C0947">
      <w:pPr>
        <w:pStyle w:val="FootnoteText"/>
        <w:rPr>
          <w:lang w:val="en-US"/>
        </w:rPr>
      </w:pPr>
      <w:r w:rsidRPr="0045288F">
        <w:rPr>
          <w:rStyle w:val="FootnoteReference"/>
        </w:rPr>
        <w:footnoteRef/>
      </w:r>
      <w:r w:rsidRPr="0045288F">
        <w:t xml:space="preserve"> </w:t>
      </w:r>
      <w:r w:rsidRPr="0045288F">
        <w:rPr>
          <w:rFonts w:cstheme="minorHAnsi"/>
          <w:i/>
        </w:rPr>
        <w:t xml:space="preserve">Disability Reform Council,  Communique, </w:t>
      </w:r>
      <w:r w:rsidRPr="0045288F">
        <w:rPr>
          <w:rFonts w:cstheme="minorHAnsi"/>
        </w:rPr>
        <w:t>The Council of Australian Governments, Sydney 30 April 2018</w:t>
      </w:r>
      <w:r w:rsidRPr="0045288F">
        <w:rPr>
          <w:rFonts w:cstheme="minorHAnsi"/>
          <w:i/>
        </w:rPr>
        <w:t xml:space="preserve"> </w:t>
      </w:r>
      <w:r w:rsidRPr="0045288F">
        <w:rPr>
          <w:rFonts w:cstheme="minorHAnsi"/>
        </w:rPr>
        <w:t>p2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A300651"/>
    <w:multiLevelType w:val="hybridMultilevel"/>
    <w:tmpl w:val="0AB4FB7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E5E60"/>
    <w:multiLevelType w:val="hybridMultilevel"/>
    <w:tmpl w:val="908A8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3317A1"/>
    <w:multiLevelType w:val="hybridMultilevel"/>
    <w:tmpl w:val="EE5A9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24215"/>
    <w:multiLevelType w:val="hybridMultilevel"/>
    <w:tmpl w:val="8AD46F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32D3D"/>
    <w:multiLevelType w:val="hybridMultilevel"/>
    <w:tmpl w:val="5478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51546"/>
    <w:multiLevelType w:val="hybridMultilevel"/>
    <w:tmpl w:val="AB9C1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F00DE"/>
    <w:multiLevelType w:val="hybridMultilevel"/>
    <w:tmpl w:val="F74C9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63095F"/>
    <w:multiLevelType w:val="hybridMultilevel"/>
    <w:tmpl w:val="4A9E1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6B4543"/>
    <w:multiLevelType w:val="hybridMultilevel"/>
    <w:tmpl w:val="A2F8AF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02361A"/>
    <w:multiLevelType w:val="hybridMultilevel"/>
    <w:tmpl w:val="A9849D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96131"/>
    <w:multiLevelType w:val="hybridMultilevel"/>
    <w:tmpl w:val="98627742"/>
    <w:lvl w:ilvl="0" w:tplc="A27CF6C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76180B"/>
    <w:multiLevelType w:val="hybridMultilevel"/>
    <w:tmpl w:val="0FBC1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0C65A5"/>
    <w:multiLevelType w:val="hybridMultilevel"/>
    <w:tmpl w:val="3326B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1E00F4"/>
    <w:multiLevelType w:val="hybridMultilevel"/>
    <w:tmpl w:val="868AD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D04A36"/>
    <w:multiLevelType w:val="hybridMultilevel"/>
    <w:tmpl w:val="6906901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BB5167"/>
    <w:multiLevelType w:val="hybridMultilevel"/>
    <w:tmpl w:val="5A283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0C32FC"/>
    <w:multiLevelType w:val="hybridMultilevel"/>
    <w:tmpl w:val="A582D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617710"/>
    <w:multiLevelType w:val="hybridMultilevel"/>
    <w:tmpl w:val="D882A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074BB9"/>
    <w:multiLevelType w:val="hybridMultilevel"/>
    <w:tmpl w:val="8898B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A748E4"/>
    <w:multiLevelType w:val="hybridMultilevel"/>
    <w:tmpl w:val="6322A014"/>
    <w:lvl w:ilvl="0" w:tplc="B5C261B4">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9B7538"/>
    <w:multiLevelType w:val="hybridMultilevel"/>
    <w:tmpl w:val="C0BEB5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0009C4"/>
    <w:multiLevelType w:val="hybridMultilevel"/>
    <w:tmpl w:val="C406A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E06A84"/>
    <w:multiLevelType w:val="hybridMultilevel"/>
    <w:tmpl w:val="15AA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07069D"/>
    <w:multiLevelType w:val="hybridMultilevel"/>
    <w:tmpl w:val="A8DEF2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3020CE"/>
    <w:multiLevelType w:val="hybridMultilevel"/>
    <w:tmpl w:val="920E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1E5FF5"/>
    <w:multiLevelType w:val="hybridMultilevel"/>
    <w:tmpl w:val="9474A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701802"/>
    <w:multiLevelType w:val="hybridMultilevel"/>
    <w:tmpl w:val="932C8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F1172B"/>
    <w:multiLevelType w:val="hybridMultilevel"/>
    <w:tmpl w:val="E5020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BB43ED"/>
    <w:multiLevelType w:val="hybridMultilevel"/>
    <w:tmpl w:val="1BDE9D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C24C82"/>
    <w:multiLevelType w:val="hybridMultilevel"/>
    <w:tmpl w:val="7534EFB0"/>
    <w:lvl w:ilvl="0" w:tplc="B1D6136C">
      <w:start w:val="1"/>
      <w:numFmt w:val="bullet"/>
      <w:lvlText w:val="o"/>
      <w:lvlJc w:val="left"/>
      <w:pPr>
        <w:ind w:left="1080" w:hanging="360"/>
      </w:pPr>
      <w:rPr>
        <w:rFonts w:asciiTheme="minorHAnsi" w:hAnsiTheme="minorHAnsi" w:cs="Courier New"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7874BB"/>
    <w:multiLevelType w:val="hybridMultilevel"/>
    <w:tmpl w:val="D404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F72AAC"/>
    <w:multiLevelType w:val="hybridMultilevel"/>
    <w:tmpl w:val="65EA3F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37950"/>
    <w:multiLevelType w:val="hybridMultilevel"/>
    <w:tmpl w:val="84B46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E350AC"/>
    <w:multiLevelType w:val="hybridMultilevel"/>
    <w:tmpl w:val="29863F26"/>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22"/>
  </w:num>
  <w:num w:numId="2">
    <w:abstractNumId w:val="1"/>
  </w:num>
  <w:num w:numId="3">
    <w:abstractNumId w:val="2"/>
  </w:num>
  <w:num w:numId="4">
    <w:abstractNumId w:val="15"/>
  </w:num>
  <w:num w:numId="5">
    <w:abstractNumId w:val="5"/>
  </w:num>
  <w:num w:numId="6">
    <w:abstractNumId w:val="24"/>
  </w:num>
  <w:num w:numId="7">
    <w:abstractNumId w:val="30"/>
  </w:num>
  <w:num w:numId="8">
    <w:abstractNumId w:val="4"/>
  </w:num>
  <w:num w:numId="9">
    <w:abstractNumId w:val="16"/>
  </w:num>
  <w:num w:numId="10">
    <w:abstractNumId w:val="7"/>
  </w:num>
  <w:num w:numId="11">
    <w:abstractNumId w:val="17"/>
  </w:num>
  <w:num w:numId="12">
    <w:abstractNumId w:val="8"/>
  </w:num>
  <w:num w:numId="13">
    <w:abstractNumId w:val="25"/>
  </w:num>
  <w:num w:numId="14">
    <w:abstractNumId w:val="28"/>
  </w:num>
  <w:num w:numId="15">
    <w:abstractNumId w:val="21"/>
  </w:num>
  <w:num w:numId="16">
    <w:abstractNumId w:val="36"/>
  </w:num>
  <w:num w:numId="17">
    <w:abstractNumId w:val="19"/>
  </w:num>
  <w:num w:numId="18">
    <w:abstractNumId w:val="6"/>
  </w:num>
  <w:num w:numId="19">
    <w:abstractNumId w:val="10"/>
  </w:num>
  <w:num w:numId="20">
    <w:abstractNumId w:val="27"/>
  </w:num>
  <w:num w:numId="21">
    <w:abstractNumId w:val="0"/>
  </w:num>
  <w:num w:numId="22">
    <w:abstractNumId w:val="29"/>
  </w:num>
  <w:num w:numId="23">
    <w:abstractNumId w:val="32"/>
  </w:num>
  <w:num w:numId="24">
    <w:abstractNumId w:val="31"/>
  </w:num>
  <w:num w:numId="25">
    <w:abstractNumId w:val="34"/>
  </w:num>
  <w:num w:numId="26">
    <w:abstractNumId w:val="18"/>
  </w:num>
  <w:num w:numId="27">
    <w:abstractNumId w:val="14"/>
  </w:num>
  <w:num w:numId="28">
    <w:abstractNumId w:val="11"/>
  </w:num>
  <w:num w:numId="29">
    <w:abstractNumId w:val="3"/>
  </w:num>
  <w:num w:numId="30">
    <w:abstractNumId w:val="9"/>
  </w:num>
  <w:num w:numId="31">
    <w:abstractNumId w:val="12"/>
  </w:num>
  <w:num w:numId="32">
    <w:abstractNumId w:val="20"/>
  </w:num>
  <w:num w:numId="33">
    <w:abstractNumId w:val="33"/>
  </w:num>
  <w:num w:numId="34">
    <w:abstractNumId w:val="37"/>
  </w:num>
  <w:num w:numId="35">
    <w:abstractNumId w:val="23"/>
  </w:num>
  <w:num w:numId="36">
    <w:abstractNumId w:val="13"/>
  </w:num>
  <w:num w:numId="37">
    <w:abstractNumId w:val="26"/>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37"/>
    <w:rsid w:val="00000A28"/>
    <w:rsid w:val="00003C37"/>
    <w:rsid w:val="0000413D"/>
    <w:rsid w:val="00004470"/>
    <w:rsid w:val="00006D57"/>
    <w:rsid w:val="000077D3"/>
    <w:rsid w:val="00010DEB"/>
    <w:rsid w:val="0001138D"/>
    <w:rsid w:val="00011646"/>
    <w:rsid w:val="0001275D"/>
    <w:rsid w:val="00013E68"/>
    <w:rsid w:val="00015873"/>
    <w:rsid w:val="0001718B"/>
    <w:rsid w:val="00021E17"/>
    <w:rsid w:val="000265E7"/>
    <w:rsid w:val="000267D1"/>
    <w:rsid w:val="00036C26"/>
    <w:rsid w:val="00041338"/>
    <w:rsid w:val="0005094F"/>
    <w:rsid w:val="000518C5"/>
    <w:rsid w:val="00053302"/>
    <w:rsid w:val="00054AF0"/>
    <w:rsid w:val="00054BE4"/>
    <w:rsid w:val="00056D40"/>
    <w:rsid w:val="00057C9B"/>
    <w:rsid w:val="00061A93"/>
    <w:rsid w:val="000647E6"/>
    <w:rsid w:val="000652DF"/>
    <w:rsid w:val="000740F3"/>
    <w:rsid w:val="00077A0D"/>
    <w:rsid w:val="000940B6"/>
    <w:rsid w:val="00094393"/>
    <w:rsid w:val="00095380"/>
    <w:rsid w:val="000A028B"/>
    <w:rsid w:val="000A17DC"/>
    <w:rsid w:val="000A2189"/>
    <w:rsid w:val="000B1FC7"/>
    <w:rsid w:val="000C0BE2"/>
    <w:rsid w:val="000C52BD"/>
    <w:rsid w:val="000D43BC"/>
    <w:rsid w:val="000D5E5E"/>
    <w:rsid w:val="000E17B6"/>
    <w:rsid w:val="000E2D26"/>
    <w:rsid w:val="000E2D28"/>
    <w:rsid w:val="000E46C0"/>
    <w:rsid w:val="000E5A8D"/>
    <w:rsid w:val="000E5F80"/>
    <w:rsid w:val="000F4ACB"/>
    <w:rsid w:val="000F4E07"/>
    <w:rsid w:val="000F61C7"/>
    <w:rsid w:val="000F7BCC"/>
    <w:rsid w:val="001001A5"/>
    <w:rsid w:val="00100367"/>
    <w:rsid w:val="001026B5"/>
    <w:rsid w:val="00102987"/>
    <w:rsid w:val="0010479F"/>
    <w:rsid w:val="0010702C"/>
    <w:rsid w:val="001075C8"/>
    <w:rsid w:val="00111F57"/>
    <w:rsid w:val="001136B9"/>
    <w:rsid w:val="00113A91"/>
    <w:rsid w:val="0011439D"/>
    <w:rsid w:val="001171BE"/>
    <w:rsid w:val="00125A55"/>
    <w:rsid w:val="00140E35"/>
    <w:rsid w:val="00142982"/>
    <w:rsid w:val="001440C2"/>
    <w:rsid w:val="0014467B"/>
    <w:rsid w:val="0014701A"/>
    <w:rsid w:val="00152B27"/>
    <w:rsid w:val="00153162"/>
    <w:rsid w:val="0015439B"/>
    <w:rsid w:val="00161566"/>
    <w:rsid w:val="0016201E"/>
    <w:rsid w:val="001635BD"/>
    <w:rsid w:val="00163EA0"/>
    <w:rsid w:val="00166B7E"/>
    <w:rsid w:val="00166E55"/>
    <w:rsid w:val="0016715A"/>
    <w:rsid w:val="001753F3"/>
    <w:rsid w:val="001759E0"/>
    <w:rsid w:val="001804C3"/>
    <w:rsid w:val="00180568"/>
    <w:rsid w:val="00183BC5"/>
    <w:rsid w:val="0018507C"/>
    <w:rsid w:val="0019758A"/>
    <w:rsid w:val="0019778B"/>
    <w:rsid w:val="001A292C"/>
    <w:rsid w:val="001A514E"/>
    <w:rsid w:val="001A614A"/>
    <w:rsid w:val="001B0ECC"/>
    <w:rsid w:val="001B1337"/>
    <w:rsid w:val="001B28A6"/>
    <w:rsid w:val="001B4BF0"/>
    <w:rsid w:val="001B54C6"/>
    <w:rsid w:val="001B58A8"/>
    <w:rsid w:val="001C0E1E"/>
    <w:rsid w:val="001C2067"/>
    <w:rsid w:val="001C2DFB"/>
    <w:rsid w:val="001C63C0"/>
    <w:rsid w:val="001D0671"/>
    <w:rsid w:val="001D1F54"/>
    <w:rsid w:val="001D3A8D"/>
    <w:rsid w:val="001D51D4"/>
    <w:rsid w:val="001D66FA"/>
    <w:rsid w:val="001D6CC0"/>
    <w:rsid w:val="001E1AE8"/>
    <w:rsid w:val="001E46CE"/>
    <w:rsid w:val="001E6E92"/>
    <w:rsid w:val="001E7EF7"/>
    <w:rsid w:val="001F03A2"/>
    <w:rsid w:val="001F089B"/>
    <w:rsid w:val="001F5828"/>
    <w:rsid w:val="001F6EFE"/>
    <w:rsid w:val="002000D1"/>
    <w:rsid w:val="00205BDD"/>
    <w:rsid w:val="00210127"/>
    <w:rsid w:val="00212B77"/>
    <w:rsid w:val="00213627"/>
    <w:rsid w:val="0022278F"/>
    <w:rsid w:val="002245E1"/>
    <w:rsid w:val="0022479E"/>
    <w:rsid w:val="00230265"/>
    <w:rsid w:val="002307AF"/>
    <w:rsid w:val="0023247F"/>
    <w:rsid w:val="00234FFB"/>
    <w:rsid w:val="002366D3"/>
    <w:rsid w:val="0023694E"/>
    <w:rsid w:val="002425A0"/>
    <w:rsid w:val="002438B4"/>
    <w:rsid w:val="00244208"/>
    <w:rsid w:val="002456A5"/>
    <w:rsid w:val="00245E67"/>
    <w:rsid w:val="00247DC9"/>
    <w:rsid w:val="00253692"/>
    <w:rsid w:val="00254407"/>
    <w:rsid w:val="002677FC"/>
    <w:rsid w:val="00267E30"/>
    <w:rsid w:val="002704C2"/>
    <w:rsid w:val="002729B1"/>
    <w:rsid w:val="002810EC"/>
    <w:rsid w:val="00283F2B"/>
    <w:rsid w:val="00287501"/>
    <w:rsid w:val="0029110D"/>
    <w:rsid w:val="00291C52"/>
    <w:rsid w:val="00294200"/>
    <w:rsid w:val="0029433B"/>
    <w:rsid w:val="002A4218"/>
    <w:rsid w:val="002B6885"/>
    <w:rsid w:val="002C445C"/>
    <w:rsid w:val="002D0041"/>
    <w:rsid w:val="002D0F46"/>
    <w:rsid w:val="002D6215"/>
    <w:rsid w:val="002D68B8"/>
    <w:rsid w:val="002D70E6"/>
    <w:rsid w:val="002D7D5E"/>
    <w:rsid w:val="002E0CB1"/>
    <w:rsid w:val="002E302B"/>
    <w:rsid w:val="002E3375"/>
    <w:rsid w:val="002E450A"/>
    <w:rsid w:val="002E5F1D"/>
    <w:rsid w:val="002E5FC9"/>
    <w:rsid w:val="002E6AA6"/>
    <w:rsid w:val="002F29D8"/>
    <w:rsid w:val="002F2F56"/>
    <w:rsid w:val="002F30E2"/>
    <w:rsid w:val="002F7257"/>
    <w:rsid w:val="00305668"/>
    <w:rsid w:val="003067C2"/>
    <w:rsid w:val="00306DCC"/>
    <w:rsid w:val="003103F4"/>
    <w:rsid w:val="0031650B"/>
    <w:rsid w:val="00320B60"/>
    <w:rsid w:val="00320F04"/>
    <w:rsid w:val="00322971"/>
    <w:rsid w:val="00325CD0"/>
    <w:rsid w:val="00326CA0"/>
    <w:rsid w:val="0033018E"/>
    <w:rsid w:val="00330999"/>
    <w:rsid w:val="00331E4D"/>
    <w:rsid w:val="003356B3"/>
    <w:rsid w:val="00336FD8"/>
    <w:rsid w:val="00340182"/>
    <w:rsid w:val="00340201"/>
    <w:rsid w:val="00342A3C"/>
    <w:rsid w:val="00343094"/>
    <w:rsid w:val="00344F4C"/>
    <w:rsid w:val="00345757"/>
    <w:rsid w:val="0035257A"/>
    <w:rsid w:val="00352FF9"/>
    <w:rsid w:val="0035362F"/>
    <w:rsid w:val="00353F57"/>
    <w:rsid w:val="00356A2C"/>
    <w:rsid w:val="00356DF9"/>
    <w:rsid w:val="00361EAC"/>
    <w:rsid w:val="00362131"/>
    <w:rsid w:val="00362517"/>
    <w:rsid w:val="00362B98"/>
    <w:rsid w:val="0036767A"/>
    <w:rsid w:val="003739CC"/>
    <w:rsid w:val="003761E5"/>
    <w:rsid w:val="00376779"/>
    <w:rsid w:val="003774AA"/>
    <w:rsid w:val="0038098E"/>
    <w:rsid w:val="0038146C"/>
    <w:rsid w:val="003818E5"/>
    <w:rsid w:val="0039049A"/>
    <w:rsid w:val="003969C2"/>
    <w:rsid w:val="00397D94"/>
    <w:rsid w:val="003A0971"/>
    <w:rsid w:val="003A246E"/>
    <w:rsid w:val="003A3452"/>
    <w:rsid w:val="003A5497"/>
    <w:rsid w:val="003B30EB"/>
    <w:rsid w:val="003B77B5"/>
    <w:rsid w:val="003B77F4"/>
    <w:rsid w:val="003C0888"/>
    <w:rsid w:val="003C0947"/>
    <w:rsid w:val="003C0BC8"/>
    <w:rsid w:val="003C185D"/>
    <w:rsid w:val="003C401F"/>
    <w:rsid w:val="003D0BE9"/>
    <w:rsid w:val="003D3791"/>
    <w:rsid w:val="003D4428"/>
    <w:rsid w:val="003D6956"/>
    <w:rsid w:val="003D7326"/>
    <w:rsid w:val="003E2645"/>
    <w:rsid w:val="003F6BAD"/>
    <w:rsid w:val="003F7B4B"/>
    <w:rsid w:val="0040273E"/>
    <w:rsid w:val="00402BE5"/>
    <w:rsid w:val="00405DB8"/>
    <w:rsid w:val="00406E61"/>
    <w:rsid w:val="00407D03"/>
    <w:rsid w:val="00410286"/>
    <w:rsid w:val="00411B6E"/>
    <w:rsid w:val="004148D7"/>
    <w:rsid w:val="004173D3"/>
    <w:rsid w:val="004201F5"/>
    <w:rsid w:val="00421AFD"/>
    <w:rsid w:val="00421BF1"/>
    <w:rsid w:val="0043184A"/>
    <w:rsid w:val="00431D3F"/>
    <w:rsid w:val="00432DF7"/>
    <w:rsid w:val="00435BA0"/>
    <w:rsid w:val="00444F22"/>
    <w:rsid w:val="004456DB"/>
    <w:rsid w:val="0045288F"/>
    <w:rsid w:val="00453BB6"/>
    <w:rsid w:val="004564F8"/>
    <w:rsid w:val="00460ED6"/>
    <w:rsid w:val="00461B87"/>
    <w:rsid w:val="00462A7B"/>
    <w:rsid w:val="00463237"/>
    <w:rsid w:val="00463EA3"/>
    <w:rsid w:val="0046449E"/>
    <w:rsid w:val="0046581D"/>
    <w:rsid w:val="004671EE"/>
    <w:rsid w:val="00470C02"/>
    <w:rsid w:val="00475AD3"/>
    <w:rsid w:val="004761AB"/>
    <w:rsid w:val="004763AE"/>
    <w:rsid w:val="0047793D"/>
    <w:rsid w:val="00480E2A"/>
    <w:rsid w:val="00483FC4"/>
    <w:rsid w:val="00485479"/>
    <w:rsid w:val="00485565"/>
    <w:rsid w:val="00486063"/>
    <w:rsid w:val="004920EC"/>
    <w:rsid w:val="00493886"/>
    <w:rsid w:val="004A2B7E"/>
    <w:rsid w:val="004A2C8A"/>
    <w:rsid w:val="004A3ACA"/>
    <w:rsid w:val="004A4FF9"/>
    <w:rsid w:val="004B2523"/>
    <w:rsid w:val="004B4270"/>
    <w:rsid w:val="004B44BC"/>
    <w:rsid w:val="004B718D"/>
    <w:rsid w:val="004C0308"/>
    <w:rsid w:val="004C0646"/>
    <w:rsid w:val="004C3A72"/>
    <w:rsid w:val="004C680D"/>
    <w:rsid w:val="004C7231"/>
    <w:rsid w:val="004C7B36"/>
    <w:rsid w:val="004D3963"/>
    <w:rsid w:val="004D4774"/>
    <w:rsid w:val="004E0C66"/>
    <w:rsid w:val="004E2A81"/>
    <w:rsid w:val="004E5FFB"/>
    <w:rsid w:val="004F15DA"/>
    <w:rsid w:val="004F65FF"/>
    <w:rsid w:val="004F7243"/>
    <w:rsid w:val="005024F4"/>
    <w:rsid w:val="00503EB9"/>
    <w:rsid w:val="00506FD4"/>
    <w:rsid w:val="005105E8"/>
    <w:rsid w:val="00510A30"/>
    <w:rsid w:val="0051117F"/>
    <w:rsid w:val="005116BB"/>
    <w:rsid w:val="00514448"/>
    <w:rsid w:val="00514572"/>
    <w:rsid w:val="00514985"/>
    <w:rsid w:val="00516124"/>
    <w:rsid w:val="00516B7C"/>
    <w:rsid w:val="00527B77"/>
    <w:rsid w:val="00532967"/>
    <w:rsid w:val="00533F10"/>
    <w:rsid w:val="005440E3"/>
    <w:rsid w:val="00545023"/>
    <w:rsid w:val="005455CE"/>
    <w:rsid w:val="00550782"/>
    <w:rsid w:val="00550C28"/>
    <w:rsid w:val="0055203A"/>
    <w:rsid w:val="0055363F"/>
    <w:rsid w:val="00553720"/>
    <w:rsid w:val="00556A4E"/>
    <w:rsid w:val="00561201"/>
    <w:rsid w:val="00561272"/>
    <w:rsid w:val="00561F2E"/>
    <w:rsid w:val="0056301D"/>
    <w:rsid w:val="00563B8E"/>
    <w:rsid w:val="005647F2"/>
    <w:rsid w:val="005664F0"/>
    <w:rsid w:val="00570C3A"/>
    <w:rsid w:val="005742AF"/>
    <w:rsid w:val="005755CD"/>
    <w:rsid w:val="00577A4E"/>
    <w:rsid w:val="00580FDB"/>
    <w:rsid w:val="00581622"/>
    <w:rsid w:val="005820D0"/>
    <w:rsid w:val="005832C3"/>
    <w:rsid w:val="00584095"/>
    <w:rsid w:val="005859C3"/>
    <w:rsid w:val="005862BB"/>
    <w:rsid w:val="005913B9"/>
    <w:rsid w:val="00596AE4"/>
    <w:rsid w:val="0059746D"/>
    <w:rsid w:val="00597495"/>
    <w:rsid w:val="005A0609"/>
    <w:rsid w:val="005A0865"/>
    <w:rsid w:val="005A2589"/>
    <w:rsid w:val="005A46D1"/>
    <w:rsid w:val="005A6E8E"/>
    <w:rsid w:val="005B3D99"/>
    <w:rsid w:val="005B4049"/>
    <w:rsid w:val="005C144B"/>
    <w:rsid w:val="005C17CB"/>
    <w:rsid w:val="005C61BE"/>
    <w:rsid w:val="005C6813"/>
    <w:rsid w:val="005C7A46"/>
    <w:rsid w:val="005D171C"/>
    <w:rsid w:val="005D2421"/>
    <w:rsid w:val="005D4C26"/>
    <w:rsid w:val="005D5284"/>
    <w:rsid w:val="005D6E83"/>
    <w:rsid w:val="005E38A0"/>
    <w:rsid w:val="005E64EB"/>
    <w:rsid w:val="005E7217"/>
    <w:rsid w:val="005F3D1B"/>
    <w:rsid w:val="005F6220"/>
    <w:rsid w:val="0060020A"/>
    <w:rsid w:val="00604B45"/>
    <w:rsid w:val="00610AC7"/>
    <w:rsid w:val="0061128E"/>
    <w:rsid w:val="00614958"/>
    <w:rsid w:val="006152F2"/>
    <w:rsid w:val="0061587E"/>
    <w:rsid w:val="00620147"/>
    <w:rsid w:val="00621FC6"/>
    <w:rsid w:val="00627C62"/>
    <w:rsid w:val="006301FE"/>
    <w:rsid w:val="006310C8"/>
    <w:rsid w:val="00631105"/>
    <w:rsid w:val="00631514"/>
    <w:rsid w:val="00632C98"/>
    <w:rsid w:val="006441B4"/>
    <w:rsid w:val="0064535C"/>
    <w:rsid w:val="00650453"/>
    <w:rsid w:val="0065218A"/>
    <w:rsid w:val="006527A3"/>
    <w:rsid w:val="0066144E"/>
    <w:rsid w:val="00665FB4"/>
    <w:rsid w:val="006674CD"/>
    <w:rsid w:val="006766A0"/>
    <w:rsid w:val="00676DBE"/>
    <w:rsid w:val="00683899"/>
    <w:rsid w:val="006850E5"/>
    <w:rsid w:val="006853E7"/>
    <w:rsid w:val="00691720"/>
    <w:rsid w:val="006942A7"/>
    <w:rsid w:val="0069501A"/>
    <w:rsid w:val="006950F5"/>
    <w:rsid w:val="00695B10"/>
    <w:rsid w:val="006A0B71"/>
    <w:rsid w:val="006A17DA"/>
    <w:rsid w:val="006A32B2"/>
    <w:rsid w:val="006A738D"/>
    <w:rsid w:val="006B01E4"/>
    <w:rsid w:val="006B0347"/>
    <w:rsid w:val="006C10B2"/>
    <w:rsid w:val="006C1EBE"/>
    <w:rsid w:val="006C649B"/>
    <w:rsid w:val="006C78C8"/>
    <w:rsid w:val="006E6C3A"/>
    <w:rsid w:val="006F1FCC"/>
    <w:rsid w:val="006F2077"/>
    <w:rsid w:val="006F38A1"/>
    <w:rsid w:val="006F4BB5"/>
    <w:rsid w:val="00702412"/>
    <w:rsid w:val="007028EE"/>
    <w:rsid w:val="00702A61"/>
    <w:rsid w:val="0071040C"/>
    <w:rsid w:val="007123BC"/>
    <w:rsid w:val="007129CA"/>
    <w:rsid w:val="00714BDA"/>
    <w:rsid w:val="00715658"/>
    <w:rsid w:val="0071616B"/>
    <w:rsid w:val="00720D97"/>
    <w:rsid w:val="00722269"/>
    <w:rsid w:val="00722BE2"/>
    <w:rsid w:val="00724515"/>
    <w:rsid w:val="00726985"/>
    <w:rsid w:val="00730080"/>
    <w:rsid w:val="00730084"/>
    <w:rsid w:val="00736B99"/>
    <w:rsid w:val="00742DB3"/>
    <w:rsid w:val="00745626"/>
    <w:rsid w:val="0074574F"/>
    <w:rsid w:val="00753DE3"/>
    <w:rsid w:val="0075572A"/>
    <w:rsid w:val="0076041F"/>
    <w:rsid w:val="007610AA"/>
    <w:rsid w:val="00761D85"/>
    <w:rsid w:val="00766411"/>
    <w:rsid w:val="00772895"/>
    <w:rsid w:val="00772D40"/>
    <w:rsid w:val="007741B0"/>
    <w:rsid w:val="00774579"/>
    <w:rsid w:val="00777BCA"/>
    <w:rsid w:val="0078071F"/>
    <w:rsid w:val="007852AA"/>
    <w:rsid w:val="00785AA3"/>
    <w:rsid w:val="00786FFA"/>
    <w:rsid w:val="00787946"/>
    <w:rsid w:val="00790D41"/>
    <w:rsid w:val="00792D0E"/>
    <w:rsid w:val="0079449B"/>
    <w:rsid w:val="007A29C1"/>
    <w:rsid w:val="007B0B8B"/>
    <w:rsid w:val="007B1ADE"/>
    <w:rsid w:val="007B243F"/>
    <w:rsid w:val="007B5217"/>
    <w:rsid w:val="007B52CF"/>
    <w:rsid w:val="007B5E72"/>
    <w:rsid w:val="007B7065"/>
    <w:rsid w:val="007B7D01"/>
    <w:rsid w:val="007C21BD"/>
    <w:rsid w:val="007C35FC"/>
    <w:rsid w:val="007C6E30"/>
    <w:rsid w:val="007C77A5"/>
    <w:rsid w:val="007D1EE8"/>
    <w:rsid w:val="007D4A49"/>
    <w:rsid w:val="007D593B"/>
    <w:rsid w:val="007D76AB"/>
    <w:rsid w:val="007D7C72"/>
    <w:rsid w:val="007E008F"/>
    <w:rsid w:val="007E27CB"/>
    <w:rsid w:val="007E6868"/>
    <w:rsid w:val="007E6ACD"/>
    <w:rsid w:val="007E752C"/>
    <w:rsid w:val="007F53B2"/>
    <w:rsid w:val="0080589E"/>
    <w:rsid w:val="00806907"/>
    <w:rsid w:val="00811EAC"/>
    <w:rsid w:val="0081330C"/>
    <w:rsid w:val="00815001"/>
    <w:rsid w:val="008159A2"/>
    <w:rsid w:val="008262B8"/>
    <w:rsid w:val="008348C4"/>
    <w:rsid w:val="00835B12"/>
    <w:rsid w:val="00835FC0"/>
    <w:rsid w:val="008402A0"/>
    <w:rsid w:val="00842FC0"/>
    <w:rsid w:val="00843662"/>
    <w:rsid w:val="00846B53"/>
    <w:rsid w:val="008477E6"/>
    <w:rsid w:val="00847F15"/>
    <w:rsid w:val="00850F8B"/>
    <w:rsid w:val="00853E1A"/>
    <w:rsid w:val="0085433C"/>
    <w:rsid w:val="00856B5F"/>
    <w:rsid w:val="00856D98"/>
    <w:rsid w:val="00857BF3"/>
    <w:rsid w:val="00860387"/>
    <w:rsid w:val="008636D2"/>
    <w:rsid w:val="00871AD8"/>
    <w:rsid w:val="008744A5"/>
    <w:rsid w:val="0087514E"/>
    <w:rsid w:val="00876CA7"/>
    <w:rsid w:val="00877335"/>
    <w:rsid w:val="00886497"/>
    <w:rsid w:val="0088653D"/>
    <w:rsid w:val="00886C01"/>
    <w:rsid w:val="00887DE3"/>
    <w:rsid w:val="00897C42"/>
    <w:rsid w:val="008A1BD5"/>
    <w:rsid w:val="008A72AD"/>
    <w:rsid w:val="008B3F0E"/>
    <w:rsid w:val="008B4394"/>
    <w:rsid w:val="008B4559"/>
    <w:rsid w:val="008B5777"/>
    <w:rsid w:val="008B5D7F"/>
    <w:rsid w:val="008B60AD"/>
    <w:rsid w:val="008B6CDC"/>
    <w:rsid w:val="008B7338"/>
    <w:rsid w:val="008B7C05"/>
    <w:rsid w:val="008C14DF"/>
    <w:rsid w:val="008C3DA1"/>
    <w:rsid w:val="008C4726"/>
    <w:rsid w:val="008C592E"/>
    <w:rsid w:val="008C658F"/>
    <w:rsid w:val="008D059D"/>
    <w:rsid w:val="008D2FE2"/>
    <w:rsid w:val="008D40F4"/>
    <w:rsid w:val="008D5DD2"/>
    <w:rsid w:val="008E0266"/>
    <w:rsid w:val="008E0E45"/>
    <w:rsid w:val="008E3A77"/>
    <w:rsid w:val="009004B9"/>
    <w:rsid w:val="00901452"/>
    <w:rsid w:val="00902320"/>
    <w:rsid w:val="0090316A"/>
    <w:rsid w:val="00906CF3"/>
    <w:rsid w:val="00907EBF"/>
    <w:rsid w:val="009130A1"/>
    <w:rsid w:val="009175FF"/>
    <w:rsid w:val="00917D8C"/>
    <w:rsid w:val="00920E1E"/>
    <w:rsid w:val="0092378E"/>
    <w:rsid w:val="009256E8"/>
    <w:rsid w:val="0093387E"/>
    <w:rsid w:val="00935B5F"/>
    <w:rsid w:val="009369C1"/>
    <w:rsid w:val="009372B2"/>
    <w:rsid w:val="00944B9B"/>
    <w:rsid w:val="009468A1"/>
    <w:rsid w:val="00946AEE"/>
    <w:rsid w:val="0094724C"/>
    <w:rsid w:val="009505D2"/>
    <w:rsid w:val="00950BAB"/>
    <w:rsid w:val="00950C05"/>
    <w:rsid w:val="00951D9F"/>
    <w:rsid w:val="00952F1D"/>
    <w:rsid w:val="00954D84"/>
    <w:rsid w:val="009554BC"/>
    <w:rsid w:val="009564DC"/>
    <w:rsid w:val="009605E8"/>
    <w:rsid w:val="00966070"/>
    <w:rsid w:val="009669D7"/>
    <w:rsid w:val="00967A01"/>
    <w:rsid w:val="009716F6"/>
    <w:rsid w:val="009720D3"/>
    <w:rsid w:val="009806DE"/>
    <w:rsid w:val="0098142C"/>
    <w:rsid w:val="0098409C"/>
    <w:rsid w:val="00984620"/>
    <w:rsid w:val="00990B3F"/>
    <w:rsid w:val="00993924"/>
    <w:rsid w:val="009970E3"/>
    <w:rsid w:val="009A0570"/>
    <w:rsid w:val="009A10C1"/>
    <w:rsid w:val="009A2377"/>
    <w:rsid w:val="009A5DF3"/>
    <w:rsid w:val="009A7930"/>
    <w:rsid w:val="009B1267"/>
    <w:rsid w:val="009B1504"/>
    <w:rsid w:val="009B26D7"/>
    <w:rsid w:val="009B5E64"/>
    <w:rsid w:val="009B66A1"/>
    <w:rsid w:val="009C1537"/>
    <w:rsid w:val="009C2DF0"/>
    <w:rsid w:val="009C3A51"/>
    <w:rsid w:val="009C51C8"/>
    <w:rsid w:val="009C58A8"/>
    <w:rsid w:val="009D3951"/>
    <w:rsid w:val="009D4C0B"/>
    <w:rsid w:val="009D63FE"/>
    <w:rsid w:val="009E4A52"/>
    <w:rsid w:val="009F1304"/>
    <w:rsid w:val="009F280A"/>
    <w:rsid w:val="009F4271"/>
    <w:rsid w:val="009F7488"/>
    <w:rsid w:val="00A01749"/>
    <w:rsid w:val="00A036C7"/>
    <w:rsid w:val="00A1016E"/>
    <w:rsid w:val="00A1333F"/>
    <w:rsid w:val="00A13855"/>
    <w:rsid w:val="00A13C01"/>
    <w:rsid w:val="00A20EBF"/>
    <w:rsid w:val="00A2425E"/>
    <w:rsid w:val="00A2519B"/>
    <w:rsid w:val="00A253F0"/>
    <w:rsid w:val="00A26FC5"/>
    <w:rsid w:val="00A30857"/>
    <w:rsid w:val="00A310B8"/>
    <w:rsid w:val="00A32DB5"/>
    <w:rsid w:val="00A33012"/>
    <w:rsid w:val="00A338F9"/>
    <w:rsid w:val="00A34368"/>
    <w:rsid w:val="00A349F1"/>
    <w:rsid w:val="00A34E90"/>
    <w:rsid w:val="00A36708"/>
    <w:rsid w:val="00A434F0"/>
    <w:rsid w:val="00A43F69"/>
    <w:rsid w:val="00A51766"/>
    <w:rsid w:val="00A52153"/>
    <w:rsid w:val="00A5654B"/>
    <w:rsid w:val="00A632F8"/>
    <w:rsid w:val="00A647FC"/>
    <w:rsid w:val="00A70054"/>
    <w:rsid w:val="00A7236C"/>
    <w:rsid w:val="00A73D10"/>
    <w:rsid w:val="00A77B1B"/>
    <w:rsid w:val="00A846CC"/>
    <w:rsid w:val="00A94188"/>
    <w:rsid w:val="00A96A23"/>
    <w:rsid w:val="00A96C87"/>
    <w:rsid w:val="00AA1C3C"/>
    <w:rsid w:val="00AA2746"/>
    <w:rsid w:val="00AA77DF"/>
    <w:rsid w:val="00AA7D9F"/>
    <w:rsid w:val="00AA7F2E"/>
    <w:rsid w:val="00AB18D5"/>
    <w:rsid w:val="00AB2A4B"/>
    <w:rsid w:val="00AB43BD"/>
    <w:rsid w:val="00AB5731"/>
    <w:rsid w:val="00AB5744"/>
    <w:rsid w:val="00AC225A"/>
    <w:rsid w:val="00AD3195"/>
    <w:rsid w:val="00AE1B58"/>
    <w:rsid w:val="00AE2D25"/>
    <w:rsid w:val="00AE3B27"/>
    <w:rsid w:val="00AE539A"/>
    <w:rsid w:val="00AE7303"/>
    <w:rsid w:val="00AF03C6"/>
    <w:rsid w:val="00AF0673"/>
    <w:rsid w:val="00AF1DFC"/>
    <w:rsid w:val="00B00018"/>
    <w:rsid w:val="00B000A0"/>
    <w:rsid w:val="00B01BE4"/>
    <w:rsid w:val="00B01BEC"/>
    <w:rsid w:val="00B02F00"/>
    <w:rsid w:val="00B10B91"/>
    <w:rsid w:val="00B12BD2"/>
    <w:rsid w:val="00B13817"/>
    <w:rsid w:val="00B141D1"/>
    <w:rsid w:val="00B16BA9"/>
    <w:rsid w:val="00B23742"/>
    <w:rsid w:val="00B30E6D"/>
    <w:rsid w:val="00B31DF4"/>
    <w:rsid w:val="00B32112"/>
    <w:rsid w:val="00B32C71"/>
    <w:rsid w:val="00B32DB9"/>
    <w:rsid w:val="00B349B8"/>
    <w:rsid w:val="00B351E7"/>
    <w:rsid w:val="00B358A0"/>
    <w:rsid w:val="00B36E53"/>
    <w:rsid w:val="00B42507"/>
    <w:rsid w:val="00B42833"/>
    <w:rsid w:val="00B53406"/>
    <w:rsid w:val="00B552E1"/>
    <w:rsid w:val="00B556A0"/>
    <w:rsid w:val="00B61175"/>
    <w:rsid w:val="00B613C9"/>
    <w:rsid w:val="00B63E1B"/>
    <w:rsid w:val="00B643A9"/>
    <w:rsid w:val="00B71161"/>
    <w:rsid w:val="00B71F2E"/>
    <w:rsid w:val="00B72B59"/>
    <w:rsid w:val="00B756D9"/>
    <w:rsid w:val="00B81D67"/>
    <w:rsid w:val="00B81FCE"/>
    <w:rsid w:val="00B861BB"/>
    <w:rsid w:val="00B93308"/>
    <w:rsid w:val="00B935A8"/>
    <w:rsid w:val="00B93CC8"/>
    <w:rsid w:val="00B94506"/>
    <w:rsid w:val="00B9469D"/>
    <w:rsid w:val="00B94997"/>
    <w:rsid w:val="00B95212"/>
    <w:rsid w:val="00B96661"/>
    <w:rsid w:val="00BA0128"/>
    <w:rsid w:val="00BA09BB"/>
    <w:rsid w:val="00BA0EDA"/>
    <w:rsid w:val="00BA29BD"/>
    <w:rsid w:val="00BA78B9"/>
    <w:rsid w:val="00BB36CA"/>
    <w:rsid w:val="00BB3AFE"/>
    <w:rsid w:val="00BC0A37"/>
    <w:rsid w:val="00BC257C"/>
    <w:rsid w:val="00BC404D"/>
    <w:rsid w:val="00BC42DD"/>
    <w:rsid w:val="00BC5A4D"/>
    <w:rsid w:val="00BC5AE8"/>
    <w:rsid w:val="00BE1DB3"/>
    <w:rsid w:val="00BE76F6"/>
    <w:rsid w:val="00BE7F98"/>
    <w:rsid w:val="00BF4652"/>
    <w:rsid w:val="00BF51DC"/>
    <w:rsid w:val="00BF5A40"/>
    <w:rsid w:val="00BF6D80"/>
    <w:rsid w:val="00C02252"/>
    <w:rsid w:val="00C036AB"/>
    <w:rsid w:val="00C0525D"/>
    <w:rsid w:val="00C054FC"/>
    <w:rsid w:val="00C057D7"/>
    <w:rsid w:val="00C06613"/>
    <w:rsid w:val="00C0715C"/>
    <w:rsid w:val="00C116CB"/>
    <w:rsid w:val="00C13131"/>
    <w:rsid w:val="00C13EBA"/>
    <w:rsid w:val="00C20233"/>
    <w:rsid w:val="00C26AD3"/>
    <w:rsid w:val="00C309F6"/>
    <w:rsid w:val="00C32D2B"/>
    <w:rsid w:val="00C35A3B"/>
    <w:rsid w:val="00C369F0"/>
    <w:rsid w:val="00C43807"/>
    <w:rsid w:val="00C44BB0"/>
    <w:rsid w:val="00C45017"/>
    <w:rsid w:val="00C46E3D"/>
    <w:rsid w:val="00C46FE0"/>
    <w:rsid w:val="00C51009"/>
    <w:rsid w:val="00C51961"/>
    <w:rsid w:val="00C52B73"/>
    <w:rsid w:val="00C5653C"/>
    <w:rsid w:val="00C60B15"/>
    <w:rsid w:val="00C632FC"/>
    <w:rsid w:val="00C64498"/>
    <w:rsid w:val="00C65258"/>
    <w:rsid w:val="00C66117"/>
    <w:rsid w:val="00C66571"/>
    <w:rsid w:val="00C673C6"/>
    <w:rsid w:val="00C70576"/>
    <w:rsid w:val="00C71210"/>
    <w:rsid w:val="00C729DA"/>
    <w:rsid w:val="00C73A32"/>
    <w:rsid w:val="00C7491A"/>
    <w:rsid w:val="00C81001"/>
    <w:rsid w:val="00C82437"/>
    <w:rsid w:val="00C84D69"/>
    <w:rsid w:val="00C8701C"/>
    <w:rsid w:val="00C903B8"/>
    <w:rsid w:val="00C9118F"/>
    <w:rsid w:val="00C93B4E"/>
    <w:rsid w:val="00C95830"/>
    <w:rsid w:val="00CA04E4"/>
    <w:rsid w:val="00CA18DC"/>
    <w:rsid w:val="00CA29DB"/>
    <w:rsid w:val="00CA6994"/>
    <w:rsid w:val="00CA7251"/>
    <w:rsid w:val="00CA797F"/>
    <w:rsid w:val="00CB05BC"/>
    <w:rsid w:val="00CB0DE7"/>
    <w:rsid w:val="00CB2388"/>
    <w:rsid w:val="00CB2E58"/>
    <w:rsid w:val="00CB4DD0"/>
    <w:rsid w:val="00CB51F6"/>
    <w:rsid w:val="00CB5D86"/>
    <w:rsid w:val="00CB6E9E"/>
    <w:rsid w:val="00CC1140"/>
    <w:rsid w:val="00CC3495"/>
    <w:rsid w:val="00CC46AF"/>
    <w:rsid w:val="00CC4894"/>
    <w:rsid w:val="00CD507D"/>
    <w:rsid w:val="00CD75C2"/>
    <w:rsid w:val="00CF252C"/>
    <w:rsid w:val="00CF32EA"/>
    <w:rsid w:val="00CF6E3F"/>
    <w:rsid w:val="00D0211E"/>
    <w:rsid w:val="00D027D9"/>
    <w:rsid w:val="00D05C13"/>
    <w:rsid w:val="00D0606E"/>
    <w:rsid w:val="00D124D5"/>
    <w:rsid w:val="00D12A1A"/>
    <w:rsid w:val="00D13A68"/>
    <w:rsid w:val="00D1428F"/>
    <w:rsid w:val="00D14597"/>
    <w:rsid w:val="00D151F6"/>
    <w:rsid w:val="00D20883"/>
    <w:rsid w:val="00D21328"/>
    <w:rsid w:val="00D245D5"/>
    <w:rsid w:val="00D26CB3"/>
    <w:rsid w:val="00D34F90"/>
    <w:rsid w:val="00D40393"/>
    <w:rsid w:val="00D40AB6"/>
    <w:rsid w:val="00D427E5"/>
    <w:rsid w:val="00D43D2A"/>
    <w:rsid w:val="00D448C5"/>
    <w:rsid w:val="00D45B02"/>
    <w:rsid w:val="00D46244"/>
    <w:rsid w:val="00D474FA"/>
    <w:rsid w:val="00D54256"/>
    <w:rsid w:val="00D556FF"/>
    <w:rsid w:val="00D56869"/>
    <w:rsid w:val="00D63F79"/>
    <w:rsid w:val="00D65F4C"/>
    <w:rsid w:val="00D67C7D"/>
    <w:rsid w:val="00D67E21"/>
    <w:rsid w:val="00D72C69"/>
    <w:rsid w:val="00D73501"/>
    <w:rsid w:val="00D7534D"/>
    <w:rsid w:val="00D77126"/>
    <w:rsid w:val="00D77563"/>
    <w:rsid w:val="00D809F3"/>
    <w:rsid w:val="00D80DA3"/>
    <w:rsid w:val="00D81EB4"/>
    <w:rsid w:val="00D8222B"/>
    <w:rsid w:val="00D8275C"/>
    <w:rsid w:val="00D83824"/>
    <w:rsid w:val="00D84856"/>
    <w:rsid w:val="00D85BCF"/>
    <w:rsid w:val="00D868B4"/>
    <w:rsid w:val="00D86D6E"/>
    <w:rsid w:val="00D900D1"/>
    <w:rsid w:val="00D91757"/>
    <w:rsid w:val="00D9485B"/>
    <w:rsid w:val="00D94C55"/>
    <w:rsid w:val="00D94CEF"/>
    <w:rsid w:val="00D9784F"/>
    <w:rsid w:val="00DA0957"/>
    <w:rsid w:val="00DA4833"/>
    <w:rsid w:val="00DA4C4F"/>
    <w:rsid w:val="00DB4FF8"/>
    <w:rsid w:val="00DB7397"/>
    <w:rsid w:val="00DB7B60"/>
    <w:rsid w:val="00DC4FB8"/>
    <w:rsid w:val="00DD2F5B"/>
    <w:rsid w:val="00DD7228"/>
    <w:rsid w:val="00DE23EA"/>
    <w:rsid w:val="00DE3332"/>
    <w:rsid w:val="00DE5F02"/>
    <w:rsid w:val="00DE787D"/>
    <w:rsid w:val="00DF5208"/>
    <w:rsid w:val="00DF56E9"/>
    <w:rsid w:val="00DF674D"/>
    <w:rsid w:val="00E0044A"/>
    <w:rsid w:val="00E045CC"/>
    <w:rsid w:val="00E0662F"/>
    <w:rsid w:val="00E076A5"/>
    <w:rsid w:val="00E120CC"/>
    <w:rsid w:val="00E13AB4"/>
    <w:rsid w:val="00E14905"/>
    <w:rsid w:val="00E15577"/>
    <w:rsid w:val="00E21854"/>
    <w:rsid w:val="00E21A27"/>
    <w:rsid w:val="00E21E51"/>
    <w:rsid w:val="00E23944"/>
    <w:rsid w:val="00E307EF"/>
    <w:rsid w:val="00E33033"/>
    <w:rsid w:val="00E347DE"/>
    <w:rsid w:val="00E34E6D"/>
    <w:rsid w:val="00E35C5A"/>
    <w:rsid w:val="00E37C7A"/>
    <w:rsid w:val="00E46B2E"/>
    <w:rsid w:val="00E47946"/>
    <w:rsid w:val="00E52D1E"/>
    <w:rsid w:val="00E5344F"/>
    <w:rsid w:val="00E5429B"/>
    <w:rsid w:val="00E569F7"/>
    <w:rsid w:val="00E56CAF"/>
    <w:rsid w:val="00E60322"/>
    <w:rsid w:val="00E62399"/>
    <w:rsid w:val="00E6411A"/>
    <w:rsid w:val="00E64E55"/>
    <w:rsid w:val="00E75FC1"/>
    <w:rsid w:val="00E76494"/>
    <w:rsid w:val="00E7749E"/>
    <w:rsid w:val="00E80092"/>
    <w:rsid w:val="00E856D4"/>
    <w:rsid w:val="00E875D6"/>
    <w:rsid w:val="00E90118"/>
    <w:rsid w:val="00E904C9"/>
    <w:rsid w:val="00E92822"/>
    <w:rsid w:val="00EA2A0D"/>
    <w:rsid w:val="00EA2EDA"/>
    <w:rsid w:val="00EA4C62"/>
    <w:rsid w:val="00EA6D1D"/>
    <w:rsid w:val="00EB293C"/>
    <w:rsid w:val="00EB48DA"/>
    <w:rsid w:val="00EB5EFE"/>
    <w:rsid w:val="00EB69E3"/>
    <w:rsid w:val="00EB6BCD"/>
    <w:rsid w:val="00EB6D40"/>
    <w:rsid w:val="00EC04A0"/>
    <w:rsid w:val="00EC09EA"/>
    <w:rsid w:val="00EC24F3"/>
    <w:rsid w:val="00EC2A4F"/>
    <w:rsid w:val="00EC6FC0"/>
    <w:rsid w:val="00ED08F4"/>
    <w:rsid w:val="00ED1E37"/>
    <w:rsid w:val="00ED7073"/>
    <w:rsid w:val="00ED781C"/>
    <w:rsid w:val="00EE1114"/>
    <w:rsid w:val="00EE34A7"/>
    <w:rsid w:val="00EE36D7"/>
    <w:rsid w:val="00EE3FEF"/>
    <w:rsid w:val="00EE53D6"/>
    <w:rsid w:val="00EE680F"/>
    <w:rsid w:val="00EF15D1"/>
    <w:rsid w:val="00EF68D3"/>
    <w:rsid w:val="00F00454"/>
    <w:rsid w:val="00F00A93"/>
    <w:rsid w:val="00F00D3C"/>
    <w:rsid w:val="00F063D8"/>
    <w:rsid w:val="00F070D4"/>
    <w:rsid w:val="00F1005E"/>
    <w:rsid w:val="00F1071C"/>
    <w:rsid w:val="00F10FAC"/>
    <w:rsid w:val="00F13AF9"/>
    <w:rsid w:val="00F16709"/>
    <w:rsid w:val="00F21A68"/>
    <w:rsid w:val="00F22F49"/>
    <w:rsid w:val="00F25C6E"/>
    <w:rsid w:val="00F26119"/>
    <w:rsid w:val="00F26A37"/>
    <w:rsid w:val="00F41672"/>
    <w:rsid w:val="00F425B9"/>
    <w:rsid w:val="00F44417"/>
    <w:rsid w:val="00F45789"/>
    <w:rsid w:val="00F47D51"/>
    <w:rsid w:val="00F51B9B"/>
    <w:rsid w:val="00F54162"/>
    <w:rsid w:val="00F57F02"/>
    <w:rsid w:val="00F603A9"/>
    <w:rsid w:val="00F60B4C"/>
    <w:rsid w:val="00F63ABB"/>
    <w:rsid w:val="00F64898"/>
    <w:rsid w:val="00F65FE4"/>
    <w:rsid w:val="00F7213F"/>
    <w:rsid w:val="00F73B82"/>
    <w:rsid w:val="00F77607"/>
    <w:rsid w:val="00F818C8"/>
    <w:rsid w:val="00F8736E"/>
    <w:rsid w:val="00F94BE0"/>
    <w:rsid w:val="00FA3268"/>
    <w:rsid w:val="00FA3C94"/>
    <w:rsid w:val="00FA5982"/>
    <w:rsid w:val="00FA6217"/>
    <w:rsid w:val="00FB1239"/>
    <w:rsid w:val="00FC2389"/>
    <w:rsid w:val="00FC7C5E"/>
    <w:rsid w:val="00FD24D7"/>
    <w:rsid w:val="00FD27A6"/>
    <w:rsid w:val="00FD706D"/>
    <w:rsid w:val="00FE750B"/>
    <w:rsid w:val="00FF097C"/>
    <w:rsid w:val="00FF50FE"/>
    <w:rsid w:val="00FF6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AA6F93-E573-4D1D-973E-F118037D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0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08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6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6C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4F"/>
    <w:pPr>
      <w:ind w:left="720"/>
      <w:contextualSpacing/>
    </w:pPr>
  </w:style>
  <w:style w:type="character" w:customStyle="1" w:styleId="Heading1Char">
    <w:name w:val="Heading 1 Char"/>
    <w:basedOn w:val="DefaultParagraphFont"/>
    <w:link w:val="Heading1"/>
    <w:uiPriority w:val="9"/>
    <w:rsid w:val="00ED08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08F4"/>
    <w:rPr>
      <w:rFonts w:asciiTheme="majorHAnsi" w:eastAsiaTheme="majorEastAsia" w:hAnsiTheme="majorHAnsi" w:cstheme="majorBidi"/>
      <w:color w:val="2E74B5" w:themeColor="accent1" w:themeShade="BF"/>
      <w:sz w:val="26"/>
      <w:szCs w:val="26"/>
    </w:rPr>
  </w:style>
  <w:style w:type="paragraph" w:styleId="BodyText">
    <w:name w:val="Body Text"/>
    <w:link w:val="BodyTextChar"/>
    <w:qFormat/>
    <w:rsid w:val="00ED08F4"/>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D08F4"/>
    <w:rPr>
      <w:rFonts w:ascii="Times New Roman" w:eastAsia="Times New Roman" w:hAnsi="Times New Roman" w:cs="Times New Roman"/>
      <w:sz w:val="24"/>
      <w:szCs w:val="20"/>
      <w:lang w:eastAsia="en-AU"/>
    </w:rPr>
  </w:style>
  <w:style w:type="paragraph" w:styleId="ListBullet">
    <w:name w:val="List Bullet"/>
    <w:basedOn w:val="BodyText"/>
    <w:link w:val="ListBulletChar"/>
    <w:uiPriority w:val="99"/>
    <w:qFormat/>
    <w:rsid w:val="00ED08F4"/>
    <w:pPr>
      <w:numPr>
        <w:numId w:val="1"/>
      </w:numPr>
      <w:spacing w:before="120"/>
    </w:pPr>
  </w:style>
  <w:style w:type="paragraph" w:styleId="ListBullet2">
    <w:name w:val="List Bullet 2"/>
    <w:basedOn w:val="BodyText"/>
    <w:uiPriority w:val="99"/>
    <w:rsid w:val="00ED08F4"/>
    <w:pPr>
      <w:numPr>
        <w:numId w:val="2"/>
      </w:numPr>
      <w:spacing w:before="120"/>
    </w:pPr>
  </w:style>
  <w:style w:type="character" w:customStyle="1" w:styleId="ListBulletChar">
    <w:name w:val="List Bullet Char"/>
    <w:basedOn w:val="DefaultParagraphFont"/>
    <w:link w:val="ListBullet"/>
    <w:uiPriority w:val="99"/>
    <w:rsid w:val="00ED08F4"/>
    <w:rPr>
      <w:rFonts w:ascii="Times New Roman" w:eastAsia="Times New Roman" w:hAnsi="Times New Roman" w:cs="Times New Roman"/>
      <w:sz w:val="24"/>
      <w:szCs w:val="20"/>
      <w:lang w:eastAsia="en-AU"/>
    </w:rPr>
  </w:style>
  <w:style w:type="character" w:customStyle="1" w:styleId="Heading3Char">
    <w:name w:val="Heading 3 Char"/>
    <w:basedOn w:val="DefaultParagraphFont"/>
    <w:link w:val="Heading3"/>
    <w:uiPriority w:val="9"/>
    <w:rsid w:val="00B9666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E1B58"/>
    <w:pPr>
      <w:autoSpaceDE w:val="0"/>
      <w:autoSpaceDN w:val="0"/>
      <w:adjustRightInd w:val="0"/>
      <w:spacing w:after="0" w:line="240" w:lineRule="auto"/>
      <w:ind w:right="-23"/>
    </w:pPr>
    <w:rPr>
      <w:rFonts w:ascii="Tahoma" w:eastAsia="MetaPlusNormal-Roman" w:hAnsi="Tahoma" w:cs="Tahoma"/>
      <w:color w:val="000000"/>
      <w:sz w:val="16"/>
      <w:szCs w:val="16"/>
      <w:lang w:val="en-GB"/>
    </w:rPr>
  </w:style>
  <w:style w:type="character" w:customStyle="1" w:styleId="BalloonTextChar">
    <w:name w:val="Balloon Text Char"/>
    <w:basedOn w:val="DefaultParagraphFont"/>
    <w:link w:val="BalloonText"/>
    <w:uiPriority w:val="99"/>
    <w:semiHidden/>
    <w:rsid w:val="00AE1B58"/>
    <w:rPr>
      <w:rFonts w:ascii="Tahoma" w:eastAsia="MetaPlusNormal-Roman" w:hAnsi="Tahoma" w:cs="Tahoma"/>
      <w:color w:val="000000"/>
      <w:sz w:val="16"/>
      <w:szCs w:val="16"/>
      <w:lang w:val="en-GB"/>
    </w:rPr>
  </w:style>
  <w:style w:type="paragraph" w:customStyle="1" w:styleId="ListBullet1">
    <w:name w:val="List Bullet 1"/>
    <w:basedOn w:val="ListBullet"/>
    <w:uiPriority w:val="99"/>
    <w:qFormat/>
    <w:rsid w:val="00DE3332"/>
    <w:pPr>
      <w:numPr>
        <w:numId w:val="0"/>
      </w:numPr>
      <w:spacing w:before="0" w:after="240" w:line="288" w:lineRule="auto"/>
      <w:ind w:left="720" w:hanging="360"/>
      <w:jc w:val="left"/>
    </w:pPr>
    <w:rPr>
      <w:rFonts w:ascii="Arial" w:eastAsia="MetaPlusNormal-Roman" w:hAnsi="Arial" w:cs="Arial"/>
      <w:color w:val="000000"/>
      <w:sz w:val="22"/>
      <w:szCs w:val="22"/>
      <w:lang w:eastAsia="en-US"/>
    </w:rPr>
  </w:style>
  <w:style w:type="paragraph" w:styleId="ListNumber2">
    <w:name w:val="List Number 2"/>
    <w:basedOn w:val="ListNumber1"/>
    <w:uiPriority w:val="16"/>
    <w:qFormat/>
    <w:rsid w:val="00F070D4"/>
    <w:pPr>
      <w:numPr>
        <w:ilvl w:val="1"/>
      </w:numPr>
    </w:pPr>
  </w:style>
  <w:style w:type="paragraph" w:customStyle="1" w:styleId="ListNumber1">
    <w:name w:val="List Number 1"/>
    <w:basedOn w:val="ListBullet1"/>
    <w:uiPriority w:val="99"/>
    <w:qFormat/>
    <w:rsid w:val="00F070D4"/>
    <w:pPr>
      <w:numPr>
        <w:numId w:val="3"/>
      </w:numPr>
    </w:pPr>
  </w:style>
  <w:style w:type="character" w:customStyle="1" w:styleId="Heading4Char">
    <w:name w:val="Heading 4 Char"/>
    <w:basedOn w:val="DefaultParagraphFont"/>
    <w:link w:val="Heading4"/>
    <w:uiPriority w:val="9"/>
    <w:rsid w:val="00906CF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E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98"/>
  </w:style>
  <w:style w:type="paragraph" w:styleId="Footer">
    <w:name w:val="footer"/>
    <w:basedOn w:val="Normal"/>
    <w:link w:val="FooterChar"/>
    <w:uiPriority w:val="99"/>
    <w:unhideWhenUsed/>
    <w:rsid w:val="00BE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98"/>
  </w:style>
  <w:style w:type="character" w:styleId="Hyperlink">
    <w:name w:val="Hyperlink"/>
    <w:basedOn w:val="DefaultParagraphFont"/>
    <w:uiPriority w:val="99"/>
    <w:unhideWhenUsed/>
    <w:rsid w:val="001D1F54"/>
    <w:rPr>
      <w:color w:val="0563C1" w:themeColor="hyperlink"/>
      <w:u w:val="single"/>
    </w:rPr>
  </w:style>
  <w:style w:type="character" w:styleId="CommentReference">
    <w:name w:val="annotation reference"/>
    <w:basedOn w:val="DefaultParagraphFont"/>
    <w:unhideWhenUsed/>
    <w:rsid w:val="00B10B91"/>
    <w:rPr>
      <w:sz w:val="16"/>
      <w:szCs w:val="16"/>
    </w:rPr>
  </w:style>
  <w:style w:type="paragraph" w:styleId="CommentText">
    <w:name w:val="annotation text"/>
    <w:basedOn w:val="Normal"/>
    <w:link w:val="CommentTextChar"/>
    <w:unhideWhenUsed/>
    <w:rsid w:val="00B10B91"/>
    <w:pPr>
      <w:spacing w:line="240" w:lineRule="auto"/>
    </w:pPr>
    <w:rPr>
      <w:sz w:val="20"/>
      <w:szCs w:val="20"/>
    </w:rPr>
  </w:style>
  <w:style w:type="character" w:customStyle="1" w:styleId="CommentTextChar">
    <w:name w:val="Comment Text Char"/>
    <w:basedOn w:val="DefaultParagraphFont"/>
    <w:link w:val="CommentText"/>
    <w:rsid w:val="00B10B91"/>
    <w:rPr>
      <w:sz w:val="20"/>
      <w:szCs w:val="20"/>
    </w:rPr>
  </w:style>
  <w:style w:type="paragraph" w:styleId="CommentSubject">
    <w:name w:val="annotation subject"/>
    <w:basedOn w:val="CommentText"/>
    <w:next w:val="CommentText"/>
    <w:link w:val="CommentSubjectChar"/>
    <w:uiPriority w:val="99"/>
    <w:semiHidden/>
    <w:unhideWhenUsed/>
    <w:rsid w:val="00B10B91"/>
    <w:rPr>
      <w:b/>
      <w:bCs/>
    </w:rPr>
  </w:style>
  <w:style w:type="character" w:customStyle="1" w:styleId="CommentSubjectChar">
    <w:name w:val="Comment Subject Char"/>
    <w:basedOn w:val="CommentTextChar"/>
    <w:link w:val="CommentSubject"/>
    <w:uiPriority w:val="99"/>
    <w:semiHidden/>
    <w:rsid w:val="00B10B91"/>
    <w:rPr>
      <w:b/>
      <w:bCs/>
      <w:sz w:val="20"/>
      <w:szCs w:val="20"/>
    </w:rPr>
  </w:style>
  <w:style w:type="paragraph" w:customStyle="1" w:styleId="xmsonormal">
    <w:name w:val="x_msonormal"/>
    <w:basedOn w:val="Normal"/>
    <w:rsid w:val="008B7C05"/>
    <w:pPr>
      <w:spacing w:after="0" w:line="240" w:lineRule="auto"/>
    </w:pPr>
    <w:rPr>
      <w:rFonts w:ascii="Calibri" w:hAnsi="Calibri" w:cs="Times New Roman"/>
      <w:lang w:eastAsia="en-AU"/>
    </w:rPr>
  </w:style>
  <w:style w:type="paragraph" w:styleId="Title">
    <w:name w:val="Title"/>
    <w:basedOn w:val="Normal"/>
    <w:next w:val="Normal"/>
    <w:link w:val="TitleChar"/>
    <w:uiPriority w:val="10"/>
    <w:qFormat/>
    <w:rsid w:val="00CA797F"/>
    <w:pPr>
      <w:pBdr>
        <w:bottom w:val="single" w:sz="4" w:space="1" w:color="auto"/>
      </w:pBdr>
      <w:spacing w:after="200" w:line="240" w:lineRule="auto"/>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CA797F"/>
    <w:rPr>
      <w:rFonts w:ascii="Arial" w:eastAsiaTheme="majorEastAsia" w:hAnsi="Arial" w:cstheme="majorBidi"/>
      <w:spacing w:val="5"/>
      <w:sz w:val="52"/>
      <w:szCs w:val="52"/>
    </w:rPr>
  </w:style>
  <w:style w:type="paragraph" w:customStyle="1" w:styleId="Default">
    <w:name w:val="Default"/>
    <w:rsid w:val="003B77F4"/>
    <w:pPr>
      <w:autoSpaceDE w:val="0"/>
      <w:autoSpaceDN w:val="0"/>
      <w:adjustRightInd w:val="0"/>
      <w:spacing w:after="0" w:line="240" w:lineRule="auto"/>
    </w:pPr>
    <w:rPr>
      <w:rFonts w:ascii="Montserrat" w:hAnsi="Montserrat" w:cs="Montserrat"/>
      <w:color w:val="000000"/>
      <w:sz w:val="24"/>
      <w:szCs w:val="24"/>
    </w:rPr>
  </w:style>
  <w:style w:type="character" w:customStyle="1" w:styleId="A1">
    <w:name w:val="A1"/>
    <w:uiPriority w:val="99"/>
    <w:rsid w:val="003B77F4"/>
    <w:rPr>
      <w:rFonts w:ascii="Montserrat Medium" w:hAnsi="Montserrat Medium" w:cs="Montserrat Medium"/>
      <w:color w:val="000000"/>
      <w:sz w:val="34"/>
      <w:szCs w:val="34"/>
    </w:rPr>
  </w:style>
  <w:style w:type="paragraph" w:customStyle="1" w:styleId="Pa2">
    <w:name w:val="Pa2"/>
    <w:basedOn w:val="Default"/>
    <w:next w:val="Default"/>
    <w:uiPriority w:val="99"/>
    <w:rsid w:val="003B77F4"/>
    <w:pPr>
      <w:spacing w:line="221" w:lineRule="atLeast"/>
    </w:pPr>
    <w:rPr>
      <w:rFonts w:cstheme="minorBidi"/>
      <w:color w:val="auto"/>
    </w:rPr>
  </w:style>
  <w:style w:type="paragraph" w:styleId="Revision">
    <w:name w:val="Revision"/>
    <w:hidden/>
    <w:uiPriority w:val="99"/>
    <w:semiHidden/>
    <w:rsid w:val="005E38A0"/>
    <w:pPr>
      <w:spacing w:after="0" w:line="240" w:lineRule="auto"/>
    </w:pPr>
  </w:style>
  <w:style w:type="table" w:styleId="TableGrid">
    <w:name w:val="Table Grid"/>
    <w:basedOn w:val="TableNormal"/>
    <w:uiPriority w:val="39"/>
    <w:rsid w:val="00B30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
    <w:name w:val="Rec"/>
    <w:basedOn w:val="BodyText"/>
    <w:qFormat/>
    <w:rsid w:val="001D6CC0"/>
    <w:pPr>
      <w:keepLines/>
      <w:spacing w:before="120" w:line="280" w:lineRule="atLeast"/>
    </w:pPr>
    <w:rPr>
      <w:rFonts w:ascii="Arial" w:hAnsi="Arial"/>
      <w:sz w:val="22"/>
    </w:rPr>
  </w:style>
  <w:style w:type="paragraph" w:styleId="FootnoteText">
    <w:name w:val="footnote text"/>
    <w:basedOn w:val="Normal"/>
    <w:link w:val="FootnoteTextChar"/>
    <w:uiPriority w:val="99"/>
    <w:unhideWhenUsed/>
    <w:rsid w:val="005D4C26"/>
    <w:pPr>
      <w:spacing w:after="0" w:line="240" w:lineRule="auto"/>
    </w:pPr>
    <w:rPr>
      <w:sz w:val="20"/>
      <w:szCs w:val="20"/>
    </w:rPr>
  </w:style>
  <w:style w:type="character" w:customStyle="1" w:styleId="FootnoteTextChar">
    <w:name w:val="Footnote Text Char"/>
    <w:basedOn w:val="DefaultParagraphFont"/>
    <w:link w:val="FootnoteText"/>
    <w:uiPriority w:val="99"/>
    <w:rsid w:val="005D4C26"/>
    <w:rPr>
      <w:sz w:val="20"/>
      <w:szCs w:val="20"/>
    </w:rPr>
  </w:style>
  <w:style w:type="character" w:styleId="FootnoteReference">
    <w:name w:val="footnote reference"/>
    <w:basedOn w:val="DefaultParagraphFont"/>
    <w:uiPriority w:val="99"/>
    <w:unhideWhenUsed/>
    <w:rsid w:val="005D4C26"/>
    <w:rPr>
      <w:vertAlign w:val="superscript"/>
    </w:rPr>
  </w:style>
  <w:style w:type="paragraph" w:styleId="EndnoteText">
    <w:name w:val="endnote text"/>
    <w:basedOn w:val="Normal"/>
    <w:link w:val="EndnoteTextChar"/>
    <w:uiPriority w:val="99"/>
    <w:semiHidden/>
    <w:unhideWhenUsed/>
    <w:rsid w:val="00C911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18F"/>
    <w:rPr>
      <w:sz w:val="20"/>
      <w:szCs w:val="20"/>
    </w:rPr>
  </w:style>
  <w:style w:type="character" w:styleId="EndnoteReference">
    <w:name w:val="endnote reference"/>
    <w:basedOn w:val="DefaultParagraphFont"/>
    <w:uiPriority w:val="99"/>
    <w:semiHidden/>
    <w:unhideWhenUsed/>
    <w:rsid w:val="00C9118F"/>
    <w:rPr>
      <w:vertAlign w:val="superscript"/>
    </w:rPr>
  </w:style>
  <w:style w:type="table" w:styleId="GridTable4-Accent5">
    <w:name w:val="Grid Table 4 Accent 5"/>
    <w:basedOn w:val="TableNormal"/>
    <w:uiPriority w:val="49"/>
    <w:rsid w:val="00B425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D13A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D13A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D13A6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5">
    <w:name w:val="Grid Table 5 Dark Accent 5"/>
    <w:basedOn w:val="TableNormal"/>
    <w:uiPriority w:val="50"/>
    <w:rsid w:val="00D13A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320F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7Colorful-Accent5">
    <w:name w:val="Grid Table 7 Colorful Accent 5"/>
    <w:basedOn w:val="TableNormal"/>
    <w:uiPriority w:val="52"/>
    <w:rsid w:val="005A086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UnresolvedMention1">
    <w:name w:val="Unresolved Mention1"/>
    <w:basedOn w:val="DefaultParagraphFont"/>
    <w:uiPriority w:val="99"/>
    <w:semiHidden/>
    <w:unhideWhenUsed/>
    <w:rsid w:val="007B1ADE"/>
    <w:rPr>
      <w:color w:val="605E5C"/>
      <w:shd w:val="clear" w:color="auto" w:fill="E1DFDD"/>
    </w:rPr>
  </w:style>
  <w:style w:type="character" w:styleId="FollowedHyperlink">
    <w:name w:val="FollowedHyperlink"/>
    <w:basedOn w:val="DefaultParagraphFont"/>
    <w:uiPriority w:val="99"/>
    <w:semiHidden/>
    <w:unhideWhenUsed/>
    <w:rsid w:val="00650453"/>
    <w:rPr>
      <w:color w:val="954F72" w:themeColor="followedHyperlink"/>
      <w:u w:val="single"/>
    </w:rPr>
  </w:style>
  <w:style w:type="paragraph" w:styleId="TOCHeading">
    <w:name w:val="TOC Heading"/>
    <w:basedOn w:val="Heading1"/>
    <w:next w:val="Normal"/>
    <w:uiPriority w:val="39"/>
    <w:unhideWhenUsed/>
    <w:qFormat/>
    <w:rsid w:val="00D8485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84856"/>
    <w:pPr>
      <w:spacing w:before="240" w:after="120"/>
    </w:pPr>
    <w:rPr>
      <w:b/>
      <w:bCs/>
      <w:sz w:val="20"/>
      <w:szCs w:val="20"/>
    </w:rPr>
  </w:style>
  <w:style w:type="paragraph" w:styleId="TOC2">
    <w:name w:val="toc 2"/>
    <w:basedOn w:val="Normal"/>
    <w:next w:val="Normal"/>
    <w:autoRedefine/>
    <w:uiPriority w:val="39"/>
    <w:unhideWhenUsed/>
    <w:rsid w:val="002729B1"/>
    <w:pPr>
      <w:tabs>
        <w:tab w:val="left" w:pos="660"/>
        <w:tab w:val="right" w:leader="dot" w:pos="10194"/>
      </w:tabs>
      <w:spacing w:before="120" w:after="0"/>
      <w:ind w:left="220"/>
    </w:pPr>
    <w:rPr>
      <w:rFonts w:cs="Arial"/>
      <w:b/>
      <w:bCs/>
      <w:i/>
      <w:iCs/>
      <w:noProof/>
      <w:sz w:val="24"/>
      <w:szCs w:val="24"/>
    </w:rPr>
  </w:style>
  <w:style w:type="paragraph" w:styleId="TOC3">
    <w:name w:val="toc 3"/>
    <w:basedOn w:val="Normal"/>
    <w:next w:val="Normal"/>
    <w:autoRedefine/>
    <w:uiPriority w:val="39"/>
    <w:unhideWhenUsed/>
    <w:rsid w:val="00D84856"/>
    <w:pPr>
      <w:spacing w:after="0"/>
      <w:ind w:left="440"/>
    </w:pPr>
    <w:rPr>
      <w:sz w:val="20"/>
      <w:szCs w:val="20"/>
    </w:rPr>
  </w:style>
  <w:style w:type="paragraph" w:styleId="TOC4">
    <w:name w:val="toc 4"/>
    <w:basedOn w:val="Normal"/>
    <w:next w:val="Normal"/>
    <w:autoRedefine/>
    <w:uiPriority w:val="39"/>
    <w:semiHidden/>
    <w:unhideWhenUsed/>
    <w:rsid w:val="00D84856"/>
    <w:pPr>
      <w:spacing w:after="0"/>
      <w:ind w:left="660"/>
    </w:pPr>
    <w:rPr>
      <w:sz w:val="20"/>
      <w:szCs w:val="20"/>
    </w:rPr>
  </w:style>
  <w:style w:type="paragraph" w:styleId="TOC5">
    <w:name w:val="toc 5"/>
    <w:basedOn w:val="Normal"/>
    <w:next w:val="Normal"/>
    <w:autoRedefine/>
    <w:uiPriority w:val="39"/>
    <w:semiHidden/>
    <w:unhideWhenUsed/>
    <w:rsid w:val="00D84856"/>
    <w:pPr>
      <w:spacing w:after="0"/>
      <w:ind w:left="880"/>
    </w:pPr>
    <w:rPr>
      <w:sz w:val="20"/>
      <w:szCs w:val="20"/>
    </w:rPr>
  </w:style>
  <w:style w:type="paragraph" w:styleId="TOC6">
    <w:name w:val="toc 6"/>
    <w:basedOn w:val="Normal"/>
    <w:next w:val="Normal"/>
    <w:autoRedefine/>
    <w:uiPriority w:val="39"/>
    <w:semiHidden/>
    <w:unhideWhenUsed/>
    <w:rsid w:val="00D84856"/>
    <w:pPr>
      <w:spacing w:after="0"/>
      <w:ind w:left="1100"/>
    </w:pPr>
    <w:rPr>
      <w:sz w:val="20"/>
      <w:szCs w:val="20"/>
    </w:rPr>
  </w:style>
  <w:style w:type="paragraph" w:styleId="TOC7">
    <w:name w:val="toc 7"/>
    <w:basedOn w:val="Normal"/>
    <w:next w:val="Normal"/>
    <w:autoRedefine/>
    <w:uiPriority w:val="39"/>
    <w:semiHidden/>
    <w:unhideWhenUsed/>
    <w:rsid w:val="00D84856"/>
    <w:pPr>
      <w:spacing w:after="0"/>
      <w:ind w:left="1320"/>
    </w:pPr>
    <w:rPr>
      <w:sz w:val="20"/>
      <w:szCs w:val="20"/>
    </w:rPr>
  </w:style>
  <w:style w:type="paragraph" w:styleId="TOC8">
    <w:name w:val="toc 8"/>
    <w:basedOn w:val="Normal"/>
    <w:next w:val="Normal"/>
    <w:autoRedefine/>
    <w:uiPriority w:val="39"/>
    <w:semiHidden/>
    <w:unhideWhenUsed/>
    <w:rsid w:val="00D84856"/>
    <w:pPr>
      <w:spacing w:after="0"/>
      <w:ind w:left="1540"/>
    </w:pPr>
    <w:rPr>
      <w:sz w:val="20"/>
      <w:szCs w:val="20"/>
    </w:rPr>
  </w:style>
  <w:style w:type="paragraph" w:styleId="TOC9">
    <w:name w:val="toc 9"/>
    <w:basedOn w:val="Normal"/>
    <w:next w:val="Normal"/>
    <w:autoRedefine/>
    <w:uiPriority w:val="39"/>
    <w:semiHidden/>
    <w:unhideWhenUsed/>
    <w:rsid w:val="00D84856"/>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88">
      <w:bodyDiv w:val="1"/>
      <w:marLeft w:val="0"/>
      <w:marRight w:val="0"/>
      <w:marTop w:val="0"/>
      <w:marBottom w:val="0"/>
      <w:divBdr>
        <w:top w:val="none" w:sz="0" w:space="0" w:color="auto"/>
        <w:left w:val="none" w:sz="0" w:space="0" w:color="auto"/>
        <w:bottom w:val="none" w:sz="0" w:space="0" w:color="auto"/>
        <w:right w:val="none" w:sz="0" w:space="0" w:color="auto"/>
      </w:divBdr>
    </w:div>
    <w:div w:id="427314371">
      <w:bodyDiv w:val="1"/>
      <w:marLeft w:val="0"/>
      <w:marRight w:val="0"/>
      <w:marTop w:val="0"/>
      <w:marBottom w:val="0"/>
      <w:divBdr>
        <w:top w:val="none" w:sz="0" w:space="0" w:color="auto"/>
        <w:left w:val="none" w:sz="0" w:space="0" w:color="auto"/>
        <w:bottom w:val="none" w:sz="0" w:space="0" w:color="auto"/>
        <w:right w:val="none" w:sz="0" w:space="0" w:color="auto"/>
      </w:divBdr>
      <w:divsChild>
        <w:div w:id="963730465">
          <w:marLeft w:val="547"/>
          <w:marRight w:val="0"/>
          <w:marTop w:val="0"/>
          <w:marBottom w:val="0"/>
          <w:divBdr>
            <w:top w:val="none" w:sz="0" w:space="0" w:color="auto"/>
            <w:left w:val="none" w:sz="0" w:space="0" w:color="auto"/>
            <w:bottom w:val="none" w:sz="0" w:space="0" w:color="auto"/>
            <w:right w:val="none" w:sz="0" w:space="0" w:color="auto"/>
          </w:divBdr>
        </w:div>
        <w:div w:id="1234047101">
          <w:marLeft w:val="547"/>
          <w:marRight w:val="0"/>
          <w:marTop w:val="0"/>
          <w:marBottom w:val="0"/>
          <w:divBdr>
            <w:top w:val="none" w:sz="0" w:space="0" w:color="auto"/>
            <w:left w:val="none" w:sz="0" w:space="0" w:color="auto"/>
            <w:bottom w:val="none" w:sz="0" w:space="0" w:color="auto"/>
            <w:right w:val="none" w:sz="0" w:space="0" w:color="auto"/>
          </w:divBdr>
        </w:div>
      </w:divsChild>
    </w:div>
    <w:div w:id="503665969">
      <w:bodyDiv w:val="1"/>
      <w:marLeft w:val="0"/>
      <w:marRight w:val="0"/>
      <w:marTop w:val="0"/>
      <w:marBottom w:val="0"/>
      <w:divBdr>
        <w:top w:val="none" w:sz="0" w:space="0" w:color="auto"/>
        <w:left w:val="none" w:sz="0" w:space="0" w:color="auto"/>
        <w:bottom w:val="none" w:sz="0" w:space="0" w:color="auto"/>
        <w:right w:val="none" w:sz="0" w:space="0" w:color="auto"/>
      </w:divBdr>
    </w:div>
    <w:div w:id="1139570754">
      <w:bodyDiv w:val="1"/>
      <w:marLeft w:val="0"/>
      <w:marRight w:val="0"/>
      <w:marTop w:val="0"/>
      <w:marBottom w:val="0"/>
      <w:divBdr>
        <w:top w:val="none" w:sz="0" w:space="0" w:color="auto"/>
        <w:left w:val="none" w:sz="0" w:space="0" w:color="auto"/>
        <w:bottom w:val="none" w:sz="0" w:space="0" w:color="auto"/>
        <w:right w:val="none" w:sz="0" w:space="0" w:color="auto"/>
      </w:divBdr>
      <w:divsChild>
        <w:div w:id="1501891169">
          <w:marLeft w:val="0"/>
          <w:marRight w:val="0"/>
          <w:marTop w:val="0"/>
          <w:marBottom w:val="0"/>
          <w:divBdr>
            <w:top w:val="none" w:sz="0" w:space="0" w:color="auto"/>
            <w:left w:val="none" w:sz="0" w:space="0" w:color="auto"/>
            <w:bottom w:val="none" w:sz="0" w:space="0" w:color="auto"/>
            <w:right w:val="none" w:sz="0" w:space="0" w:color="auto"/>
          </w:divBdr>
          <w:divsChild>
            <w:div w:id="1102336772">
              <w:marLeft w:val="0"/>
              <w:marRight w:val="0"/>
              <w:marTop w:val="0"/>
              <w:marBottom w:val="0"/>
              <w:divBdr>
                <w:top w:val="none" w:sz="0" w:space="0" w:color="auto"/>
                <w:left w:val="none" w:sz="0" w:space="0" w:color="auto"/>
                <w:bottom w:val="none" w:sz="0" w:space="0" w:color="auto"/>
                <w:right w:val="none" w:sz="0" w:space="0" w:color="auto"/>
              </w:divBdr>
              <w:divsChild>
                <w:div w:id="1550652716">
                  <w:marLeft w:val="0"/>
                  <w:marRight w:val="0"/>
                  <w:marTop w:val="0"/>
                  <w:marBottom w:val="0"/>
                  <w:divBdr>
                    <w:top w:val="none" w:sz="0" w:space="0" w:color="auto"/>
                    <w:left w:val="none" w:sz="0" w:space="0" w:color="auto"/>
                    <w:bottom w:val="none" w:sz="0" w:space="0" w:color="auto"/>
                    <w:right w:val="none" w:sz="0" w:space="0" w:color="auto"/>
                  </w:divBdr>
                  <w:divsChild>
                    <w:div w:id="483131915">
                      <w:marLeft w:val="750"/>
                      <w:marRight w:val="750"/>
                      <w:marTop w:val="150"/>
                      <w:marBottom w:val="150"/>
                      <w:divBdr>
                        <w:top w:val="none" w:sz="0" w:space="0" w:color="auto"/>
                        <w:left w:val="none" w:sz="0" w:space="0" w:color="auto"/>
                        <w:bottom w:val="none" w:sz="0" w:space="0" w:color="auto"/>
                        <w:right w:val="none" w:sz="0" w:space="0" w:color="auto"/>
                      </w:divBdr>
                      <w:divsChild>
                        <w:div w:id="1217082769">
                          <w:marLeft w:val="0"/>
                          <w:marRight w:val="0"/>
                          <w:marTop w:val="0"/>
                          <w:marBottom w:val="0"/>
                          <w:divBdr>
                            <w:top w:val="none" w:sz="0" w:space="0" w:color="auto"/>
                            <w:left w:val="none" w:sz="0" w:space="0" w:color="auto"/>
                            <w:bottom w:val="none" w:sz="0" w:space="0" w:color="auto"/>
                            <w:right w:val="none" w:sz="0" w:space="0" w:color="auto"/>
                          </w:divBdr>
                          <w:divsChild>
                            <w:div w:id="829908344">
                              <w:marLeft w:val="0"/>
                              <w:marRight w:val="0"/>
                              <w:marTop w:val="0"/>
                              <w:marBottom w:val="0"/>
                              <w:divBdr>
                                <w:top w:val="none" w:sz="0" w:space="0" w:color="auto"/>
                                <w:left w:val="none" w:sz="0" w:space="0" w:color="auto"/>
                                <w:bottom w:val="none" w:sz="0" w:space="0" w:color="auto"/>
                                <w:right w:val="none" w:sz="0" w:space="0" w:color="auto"/>
                              </w:divBdr>
                              <w:divsChild>
                                <w:div w:id="1128745083">
                                  <w:marLeft w:val="0"/>
                                  <w:marRight w:val="0"/>
                                  <w:marTop w:val="0"/>
                                  <w:marBottom w:val="0"/>
                                  <w:divBdr>
                                    <w:top w:val="none" w:sz="0" w:space="0" w:color="auto"/>
                                    <w:left w:val="none" w:sz="0" w:space="0" w:color="auto"/>
                                    <w:bottom w:val="none" w:sz="0" w:space="0" w:color="auto"/>
                                    <w:right w:val="none" w:sz="0" w:space="0" w:color="auto"/>
                                  </w:divBdr>
                                  <w:divsChild>
                                    <w:div w:id="1623684059">
                                      <w:marLeft w:val="0"/>
                                      <w:marRight w:val="0"/>
                                      <w:marTop w:val="0"/>
                                      <w:marBottom w:val="0"/>
                                      <w:divBdr>
                                        <w:top w:val="none" w:sz="0" w:space="0" w:color="auto"/>
                                        <w:left w:val="none" w:sz="0" w:space="0" w:color="auto"/>
                                        <w:bottom w:val="none" w:sz="0" w:space="0" w:color="auto"/>
                                        <w:right w:val="none" w:sz="0" w:space="0" w:color="auto"/>
                                      </w:divBdr>
                                      <w:divsChild>
                                        <w:div w:id="1306275992">
                                          <w:marLeft w:val="0"/>
                                          <w:marRight w:val="0"/>
                                          <w:marTop w:val="0"/>
                                          <w:marBottom w:val="0"/>
                                          <w:divBdr>
                                            <w:top w:val="none" w:sz="0" w:space="0" w:color="auto"/>
                                            <w:left w:val="none" w:sz="0" w:space="0" w:color="auto"/>
                                            <w:bottom w:val="none" w:sz="0" w:space="0" w:color="auto"/>
                                            <w:right w:val="none" w:sz="0" w:space="0" w:color="auto"/>
                                          </w:divBdr>
                                          <w:divsChild>
                                            <w:div w:id="732192893">
                                              <w:marLeft w:val="0"/>
                                              <w:marRight w:val="0"/>
                                              <w:marTop w:val="45"/>
                                              <w:marBottom w:val="45"/>
                                              <w:divBdr>
                                                <w:top w:val="none" w:sz="0" w:space="0" w:color="auto"/>
                                                <w:left w:val="none" w:sz="0" w:space="0" w:color="auto"/>
                                                <w:bottom w:val="none" w:sz="0" w:space="0" w:color="auto"/>
                                                <w:right w:val="none" w:sz="0" w:space="0" w:color="auto"/>
                                              </w:divBdr>
                                              <w:divsChild>
                                                <w:div w:id="2945256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710269">
      <w:bodyDiv w:val="1"/>
      <w:marLeft w:val="0"/>
      <w:marRight w:val="0"/>
      <w:marTop w:val="0"/>
      <w:marBottom w:val="0"/>
      <w:divBdr>
        <w:top w:val="none" w:sz="0" w:space="0" w:color="auto"/>
        <w:left w:val="none" w:sz="0" w:space="0" w:color="auto"/>
        <w:bottom w:val="none" w:sz="0" w:space="0" w:color="auto"/>
        <w:right w:val="none" w:sz="0" w:space="0" w:color="auto"/>
      </w:divBdr>
      <w:divsChild>
        <w:div w:id="1091508719">
          <w:marLeft w:val="547"/>
          <w:marRight w:val="0"/>
          <w:marTop w:val="0"/>
          <w:marBottom w:val="0"/>
          <w:divBdr>
            <w:top w:val="none" w:sz="0" w:space="0" w:color="auto"/>
            <w:left w:val="none" w:sz="0" w:space="0" w:color="auto"/>
            <w:bottom w:val="none" w:sz="0" w:space="0" w:color="auto"/>
            <w:right w:val="none" w:sz="0" w:space="0" w:color="auto"/>
          </w:divBdr>
        </w:div>
        <w:div w:id="173039295">
          <w:marLeft w:val="547"/>
          <w:marRight w:val="0"/>
          <w:marTop w:val="0"/>
          <w:marBottom w:val="0"/>
          <w:divBdr>
            <w:top w:val="none" w:sz="0" w:space="0" w:color="auto"/>
            <w:left w:val="none" w:sz="0" w:space="0" w:color="auto"/>
            <w:bottom w:val="none" w:sz="0" w:space="0" w:color="auto"/>
            <w:right w:val="none" w:sz="0" w:space="0" w:color="auto"/>
          </w:divBdr>
        </w:div>
      </w:divsChild>
    </w:div>
    <w:div w:id="1596592247">
      <w:bodyDiv w:val="1"/>
      <w:marLeft w:val="0"/>
      <w:marRight w:val="0"/>
      <w:marTop w:val="0"/>
      <w:marBottom w:val="0"/>
      <w:divBdr>
        <w:top w:val="none" w:sz="0" w:space="0" w:color="auto"/>
        <w:left w:val="none" w:sz="0" w:space="0" w:color="auto"/>
        <w:bottom w:val="none" w:sz="0" w:space="0" w:color="auto"/>
        <w:right w:val="none" w:sz="0" w:space="0" w:color="auto"/>
      </w:divBdr>
    </w:div>
    <w:div w:id="1622497293">
      <w:bodyDiv w:val="1"/>
      <w:marLeft w:val="0"/>
      <w:marRight w:val="0"/>
      <w:marTop w:val="0"/>
      <w:marBottom w:val="0"/>
      <w:divBdr>
        <w:top w:val="none" w:sz="0" w:space="0" w:color="auto"/>
        <w:left w:val="none" w:sz="0" w:space="0" w:color="auto"/>
        <w:bottom w:val="none" w:sz="0" w:space="0" w:color="auto"/>
        <w:right w:val="none" w:sz="0" w:space="0" w:color="auto"/>
      </w:divBdr>
    </w:div>
    <w:div w:id="1673100599">
      <w:bodyDiv w:val="1"/>
      <w:marLeft w:val="0"/>
      <w:marRight w:val="0"/>
      <w:marTop w:val="0"/>
      <w:marBottom w:val="0"/>
      <w:divBdr>
        <w:top w:val="none" w:sz="0" w:space="0" w:color="auto"/>
        <w:left w:val="none" w:sz="0" w:space="0" w:color="auto"/>
        <w:bottom w:val="none" w:sz="0" w:space="0" w:color="auto"/>
        <w:right w:val="none" w:sz="0" w:space="0" w:color="auto"/>
      </w:divBdr>
    </w:div>
    <w:div w:id="1753308027">
      <w:bodyDiv w:val="1"/>
      <w:marLeft w:val="0"/>
      <w:marRight w:val="0"/>
      <w:marTop w:val="0"/>
      <w:marBottom w:val="0"/>
      <w:divBdr>
        <w:top w:val="none" w:sz="0" w:space="0" w:color="auto"/>
        <w:left w:val="none" w:sz="0" w:space="0" w:color="auto"/>
        <w:bottom w:val="none" w:sz="0" w:space="0" w:color="auto"/>
        <w:right w:val="none" w:sz="0" w:space="0" w:color="auto"/>
      </w:divBdr>
      <w:divsChild>
        <w:div w:id="434448570">
          <w:marLeft w:val="0"/>
          <w:marRight w:val="0"/>
          <w:marTop w:val="0"/>
          <w:marBottom w:val="0"/>
          <w:divBdr>
            <w:top w:val="none" w:sz="0" w:space="0" w:color="auto"/>
            <w:left w:val="none" w:sz="0" w:space="0" w:color="auto"/>
            <w:bottom w:val="none" w:sz="0" w:space="0" w:color="auto"/>
            <w:right w:val="none" w:sz="0" w:space="0" w:color="auto"/>
          </w:divBdr>
          <w:divsChild>
            <w:div w:id="1274902056">
              <w:marLeft w:val="0"/>
              <w:marRight w:val="0"/>
              <w:marTop w:val="0"/>
              <w:marBottom w:val="0"/>
              <w:divBdr>
                <w:top w:val="none" w:sz="0" w:space="0" w:color="auto"/>
                <w:left w:val="none" w:sz="0" w:space="0" w:color="auto"/>
                <w:bottom w:val="none" w:sz="0" w:space="0" w:color="auto"/>
                <w:right w:val="none" w:sz="0" w:space="0" w:color="auto"/>
              </w:divBdr>
              <w:divsChild>
                <w:div w:id="1294096162">
                  <w:marLeft w:val="0"/>
                  <w:marRight w:val="0"/>
                  <w:marTop w:val="0"/>
                  <w:marBottom w:val="0"/>
                  <w:divBdr>
                    <w:top w:val="none" w:sz="0" w:space="0" w:color="auto"/>
                    <w:left w:val="none" w:sz="0" w:space="0" w:color="auto"/>
                    <w:bottom w:val="none" w:sz="0" w:space="0" w:color="auto"/>
                    <w:right w:val="none" w:sz="0" w:space="0" w:color="auto"/>
                  </w:divBdr>
                  <w:divsChild>
                    <w:div w:id="1603564611">
                      <w:marLeft w:val="750"/>
                      <w:marRight w:val="750"/>
                      <w:marTop w:val="150"/>
                      <w:marBottom w:val="150"/>
                      <w:divBdr>
                        <w:top w:val="none" w:sz="0" w:space="0" w:color="auto"/>
                        <w:left w:val="none" w:sz="0" w:space="0" w:color="auto"/>
                        <w:bottom w:val="none" w:sz="0" w:space="0" w:color="auto"/>
                        <w:right w:val="none" w:sz="0" w:space="0" w:color="auto"/>
                      </w:divBdr>
                      <w:divsChild>
                        <w:div w:id="799345480">
                          <w:marLeft w:val="0"/>
                          <w:marRight w:val="0"/>
                          <w:marTop w:val="0"/>
                          <w:marBottom w:val="0"/>
                          <w:divBdr>
                            <w:top w:val="none" w:sz="0" w:space="0" w:color="auto"/>
                            <w:left w:val="none" w:sz="0" w:space="0" w:color="auto"/>
                            <w:bottom w:val="none" w:sz="0" w:space="0" w:color="auto"/>
                            <w:right w:val="none" w:sz="0" w:space="0" w:color="auto"/>
                          </w:divBdr>
                          <w:divsChild>
                            <w:div w:id="389882293">
                              <w:marLeft w:val="0"/>
                              <w:marRight w:val="0"/>
                              <w:marTop w:val="0"/>
                              <w:marBottom w:val="0"/>
                              <w:divBdr>
                                <w:top w:val="none" w:sz="0" w:space="0" w:color="auto"/>
                                <w:left w:val="none" w:sz="0" w:space="0" w:color="auto"/>
                                <w:bottom w:val="none" w:sz="0" w:space="0" w:color="auto"/>
                                <w:right w:val="none" w:sz="0" w:space="0" w:color="auto"/>
                              </w:divBdr>
                              <w:divsChild>
                                <w:div w:id="913658783">
                                  <w:marLeft w:val="0"/>
                                  <w:marRight w:val="0"/>
                                  <w:marTop w:val="0"/>
                                  <w:marBottom w:val="0"/>
                                  <w:divBdr>
                                    <w:top w:val="none" w:sz="0" w:space="0" w:color="auto"/>
                                    <w:left w:val="none" w:sz="0" w:space="0" w:color="auto"/>
                                    <w:bottom w:val="none" w:sz="0" w:space="0" w:color="auto"/>
                                    <w:right w:val="none" w:sz="0" w:space="0" w:color="auto"/>
                                  </w:divBdr>
                                  <w:divsChild>
                                    <w:div w:id="1392193274">
                                      <w:marLeft w:val="0"/>
                                      <w:marRight w:val="0"/>
                                      <w:marTop w:val="0"/>
                                      <w:marBottom w:val="0"/>
                                      <w:divBdr>
                                        <w:top w:val="none" w:sz="0" w:space="0" w:color="auto"/>
                                        <w:left w:val="none" w:sz="0" w:space="0" w:color="auto"/>
                                        <w:bottom w:val="none" w:sz="0" w:space="0" w:color="auto"/>
                                        <w:right w:val="none" w:sz="0" w:space="0" w:color="auto"/>
                                      </w:divBdr>
                                      <w:divsChild>
                                        <w:div w:id="279144631">
                                          <w:marLeft w:val="0"/>
                                          <w:marRight w:val="0"/>
                                          <w:marTop w:val="0"/>
                                          <w:marBottom w:val="0"/>
                                          <w:divBdr>
                                            <w:top w:val="none" w:sz="0" w:space="0" w:color="auto"/>
                                            <w:left w:val="none" w:sz="0" w:space="0" w:color="auto"/>
                                            <w:bottom w:val="none" w:sz="0" w:space="0" w:color="auto"/>
                                            <w:right w:val="none" w:sz="0" w:space="0" w:color="auto"/>
                                          </w:divBdr>
                                          <w:divsChild>
                                            <w:div w:id="1971739611">
                                              <w:marLeft w:val="0"/>
                                              <w:marRight w:val="0"/>
                                              <w:marTop w:val="45"/>
                                              <w:marBottom w:val="45"/>
                                              <w:divBdr>
                                                <w:top w:val="none" w:sz="0" w:space="0" w:color="auto"/>
                                                <w:left w:val="none" w:sz="0" w:space="0" w:color="auto"/>
                                                <w:bottom w:val="none" w:sz="0" w:space="0" w:color="auto"/>
                                                <w:right w:val="none" w:sz="0" w:space="0" w:color="auto"/>
                                              </w:divBdr>
                                              <w:divsChild>
                                                <w:div w:id="5878867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s://www.legislation.nsw.gov.au/acts/2014-4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ie.mears@adc.nsw.gov.au"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er@adc.nsw.gov.au"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www.ageingdisabilitycommission.nsw.gov.au/news/events-and-consult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tion.nsw.gov.au/" TargetMode="Externa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ausstats/abs@.nsf/mf/4906.0" TargetMode="External"/><Relationship Id="rId2" Type="http://schemas.openxmlformats.org/officeDocument/2006/relationships/hyperlink" Target="https://www.abs.gov.au/ausstats/abs@.nsf/mf/4159.0" TargetMode="External"/><Relationship Id="rId1" Type="http://schemas.openxmlformats.org/officeDocument/2006/relationships/hyperlink" Target="https://www.pc.gov.au/inquiries/completed/disability-agreement" TargetMode="External"/><Relationship Id="rId4" Type="http://schemas.openxmlformats.org/officeDocument/2006/relationships/hyperlink" Target="https://www.abs.gov.au/ausstats/abs@.nsf/mf/4430.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F9F81D-B8C8-4E50-9FA2-705982E0470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413EF92B-0658-4D7E-91D2-1F6886B3286F}">
      <dgm:prSet phldrT="[Text]">
        <dgm:style>
          <a:lnRef idx="1">
            <a:schemeClr val="accent3"/>
          </a:lnRef>
          <a:fillRef idx="2">
            <a:schemeClr val="accent3"/>
          </a:fillRef>
          <a:effectRef idx="1">
            <a:schemeClr val="accent3"/>
          </a:effectRef>
          <a:fontRef idx="minor">
            <a:schemeClr val="dk1"/>
          </a:fontRef>
        </dgm:style>
      </dgm:prSet>
      <dgm:spPr/>
      <dgm:t>
        <a:bodyPr/>
        <a:lstStyle/>
        <a:p>
          <a:r>
            <a:rPr lang="en-AU" b="1"/>
            <a:t>Inclusive and accessible communities </a:t>
          </a:r>
        </a:p>
        <a:p>
          <a:r>
            <a:rPr lang="en-AU"/>
            <a:t>People with disability live in accessible and well-designed communities with opportunity for full inclusion in social, economic, sporting and cultural life</a:t>
          </a:r>
          <a:endParaRPr lang="en-US"/>
        </a:p>
      </dgm:t>
    </dgm:pt>
    <dgm:pt modelId="{C9E855BD-2F4B-474E-8E3A-D6B944F6995A}" type="parTrans" cxnId="{B6CE4ECA-5DE4-4584-9B67-21751BD97F26}">
      <dgm:prSet/>
      <dgm:spPr/>
      <dgm:t>
        <a:bodyPr/>
        <a:lstStyle/>
        <a:p>
          <a:endParaRPr lang="en-US"/>
        </a:p>
      </dgm:t>
    </dgm:pt>
    <dgm:pt modelId="{866A4D8C-E974-4815-98E0-4607F792734D}" type="sibTrans" cxnId="{B6CE4ECA-5DE4-4584-9B67-21751BD97F26}">
      <dgm:prSet/>
      <dgm:spPr/>
      <dgm:t>
        <a:bodyPr/>
        <a:lstStyle/>
        <a:p>
          <a:endParaRPr lang="en-US"/>
        </a:p>
      </dgm:t>
    </dgm:pt>
    <dgm:pt modelId="{8C4EBE91-0182-408C-98E9-6700E5CD0D6D}">
      <dgm:prSet>
        <dgm:style>
          <a:lnRef idx="1">
            <a:schemeClr val="accent3"/>
          </a:lnRef>
          <a:fillRef idx="2">
            <a:schemeClr val="accent3"/>
          </a:fillRef>
          <a:effectRef idx="1">
            <a:schemeClr val="accent3"/>
          </a:effectRef>
          <a:fontRef idx="minor">
            <a:schemeClr val="dk1"/>
          </a:fontRef>
        </dgm:style>
      </dgm:prSet>
      <dgm:spPr/>
      <dgm:t>
        <a:bodyPr/>
        <a:lstStyle/>
        <a:p>
          <a:r>
            <a:rPr lang="en-AU" b="1"/>
            <a:t>Rights protection, justice and legislation </a:t>
          </a:r>
        </a:p>
        <a:p>
          <a:r>
            <a:rPr lang="en-AU" b="0"/>
            <a:t>Pe</a:t>
          </a:r>
          <a:r>
            <a:rPr lang="en-AU"/>
            <a:t>ople with disability have their rights promoted, upheld and protected</a:t>
          </a:r>
        </a:p>
      </dgm:t>
    </dgm:pt>
    <dgm:pt modelId="{A82EF565-9805-4089-BCA9-30022EC1F6D9}" type="parTrans" cxnId="{CBBAF5A9-204E-45E0-99CF-619DC5F6DF84}">
      <dgm:prSet/>
      <dgm:spPr/>
      <dgm:t>
        <a:bodyPr/>
        <a:lstStyle/>
        <a:p>
          <a:endParaRPr lang="en-US"/>
        </a:p>
      </dgm:t>
    </dgm:pt>
    <dgm:pt modelId="{E5003CC2-1B54-40E1-91C3-B6397FD71532}" type="sibTrans" cxnId="{CBBAF5A9-204E-45E0-99CF-619DC5F6DF84}">
      <dgm:prSet/>
      <dgm:spPr/>
      <dgm:t>
        <a:bodyPr/>
        <a:lstStyle/>
        <a:p>
          <a:endParaRPr lang="en-US"/>
        </a:p>
      </dgm:t>
    </dgm:pt>
    <dgm:pt modelId="{720029E7-88CA-4A43-9DFC-5A6AE3CCD814}">
      <dgm:prSet>
        <dgm:style>
          <a:lnRef idx="1">
            <a:schemeClr val="accent3"/>
          </a:lnRef>
          <a:fillRef idx="2">
            <a:schemeClr val="accent3"/>
          </a:fillRef>
          <a:effectRef idx="1">
            <a:schemeClr val="accent3"/>
          </a:effectRef>
          <a:fontRef idx="minor">
            <a:schemeClr val="dk1"/>
          </a:fontRef>
        </dgm:style>
      </dgm:prSet>
      <dgm:spPr/>
      <dgm:t>
        <a:bodyPr/>
        <a:lstStyle/>
        <a:p>
          <a:r>
            <a:rPr lang="en-AU" b="1"/>
            <a:t>Economic security </a:t>
          </a:r>
        </a:p>
        <a:p>
          <a:r>
            <a:rPr lang="en-AU"/>
            <a:t>People with disability, their families and carers have economic security, enabling them to plan for the future and exercise choice and control over their lives</a:t>
          </a:r>
        </a:p>
      </dgm:t>
    </dgm:pt>
    <dgm:pt modelId="{801E66D0-5AEB-44AD-BD44-EBEE155D2623}" type="parTrans" cxnId="{FF31B2A1-3117-4840-947E-AE639F0453B4}">
      <dgm:prSet/>
      <dgm:spPr/>
      <dgm:t>
        <a:bodyPr/>
        <a:lstStyle/>
        <a:p>
          <a:endParaRPr lang="en-US"/>
        </a:p>
      </dgm:t>
    </dgm:pt>
    <dgm:pt modelId="{93A72912-0E30-4185-BF12-A271E9DB6A76}" type="sibTrans" cxnId="{FF31B2A1-3117-4840-947E-AE639F0453B4}">
      <dgm:prSet/>
      <dgm:spPr/>
      <dgm:t>
        <a:bodyPr/>
        <a:lstStyle/>
        <a:p>
          <a:endParaRPr lang="en-US"/>
        </a:p>
      </dgm:t>
    </dgm:pt>
    <dgm:pt modelId="{006648E4-7E53-408D-B2B9-0D1DA879DD10}">
      <dgm:prSet>
        <dgm:style>
          <a:lnRef idx="1">
            <a:schemeClr val="accent3"/>
          </a:lnRef>
          <a:fillRef idx="2">
            <a:schemeClr val="accent3"/>
          </a:fillRef>
          <a:effectRef idx="1">
            <a:schemeClr val="accent3"/>
          </a:effectRef>
          <a:fontRef idx="minor">
            <a:schemeClr val="dk1"/>
          </a:fontRef>
        </dgm:style>
      </dgm:prSet>
      <dgm:spPr/>
      <dgm:t>
        <a:bodyPr/>
        <a:lstStyle/>
        <a:p>
          <a:r>
            <a:rPr lang="en-AU" b="1"/>
            <a:t>Personal and community support </a:t>
          </a:r>
        </a:p>
        <a:p>
          <a:r>
            <a:rPr lang="en-AU"/>
            <a:t> People with disability, their families and carers have access to a range of supports to assist them to live independently and actively engage with their communities</a:t>
          </a:r>
        </a:p>
      </dgm:t>
    </dgm:pt>
    <dgm:pt modelId="{18A5D677-6FF8-4004-9CDC-89A6552C78E9}" type="parTrans" cxnId="{D76BFF93-EE03-4083-A212-76C7110650CD}">
      <dgm:prSet/>
      <dgm:spPr/>
      <dgm:t>
        <a:bodyPr/>
        <a:lstStyle/>
        <a:p>
          <a:endParaRPr lang="en-US"/>
        </a:p>
      </dgm:t>
    </dgm:pt>
    <dgm:pt modelId="{E51F558A-510E-4DAB-9E00-13405B367842}" type="sibTrans" cxnId="{D76BFF93-EE03-4083-A212-76C7110650CD}">
      <dgm:prSet/>
      <dgm:spPr/>
      <dgm:t>
        <a:bodyPr/>
        <a:lstStyle/>
        <a:p>
          <a:endParaRPr lang="en-US"/>
        </a:p>
      </dgm:t>
    </dgm:pt>
    <dgm:pt modelId="{42DFB902-D7DA-4B3D-847B-231E4587E54F}">
      <dgm:prSet>
        <dgm:style>
          <a:lnRef idx="1">
            <a:schemeClr val="accent3"/>
          </a:lnRef>
          <a:fillRef idx="2">
            <a:schemeClr val="accent3"/>
          </a:fillRef>
          <a:effectRef idx="1">
            <a:schemeClr val="accent3"/>
          </a:effectRef>
          <a:fontRef idx="minor">
            <a:schemeClr val="dk1"/>
          </a:fontRef>
        </dgm:style>
      </dgm:prSet>
      <dgm:spPr/>
      <dgm:t>
        <a:bodyPr/>
        <a:lstStyle/>
        <a:p>
          <a:r>
            <a:rPr lang="en-AU" b="1"/>
            <a:t>Health and wellbeing </a:t>
          </a:r>
        </a:p>
        <a:p>
          <a:r>
            <a:rPr lang="en-AU"/>
            <a:t>People with disability attain highest possible health and wellbeing outcomes throughout their lives</a:t>
          </a:r>
        </a:p>
      </dgm:t>
    </dgm:pt>
    <dgm:pt modelId="{D90A3048-5FA8-46FB-98EE-92254F476A25}" type="parTrans" cxnId="{37916868-1980-4511-8588-A32267806072}">
      <dgm:prSet/>
      <dgm:spPr/>
      <dgm:t>
        <a:bodyPr/>
        <a:lstStyle/>
        <a:p>
          <a:endParaRPr lang="en-US"/>
        </a:p>
      </dgm:t>
    </dgm:pt>
    <dgm:pt modelId="{84857B01-8F66-4444-B055-49BE550E5769}" type="sibTrans" cxnId="{37916868-1980-4511-8588-A32267806072}">
      <dgm:prSet/>
      <dgm:spPr/>
      <dgm:t>
        <a:bodyPr/>
        <a:lstStyle/>
        <a:p>
          <a:endParaRPr lang="en-US"/>
        </a:p>
      </dgm:t>
    </dgm:pt>
    <dgm:pt modelId="{8961645E-1162-45C8-83EC-569416A2472A}">
      <dgm:prSet>
        <dgm:style>
          <a:lnRef idx="1">
            <a:schemeClr val="accent3"/>
          </a:lnRef>
          <a:fillRef idx="2">
            <a:schemeClr val="accent3"/>
          </a:fillRef>
          <a:effectRef idx="1">
            <a:schemeClr val="accent3"/>
          </a:effectRef>
          <a:fontRef idx="minor">
            <a:schemeClr val="dk1"/>
          </a:fontRef>
        </dgm:style>
      </dgm:prSet>
      <dgm:spPr/>
      <dgm:t>
        <a:bodyPr/>
        <a:lstStyle/>
        <a:p>
          <a:r>
            <a:rPr lang="en-AU" b="1"/>
            <a:t>Learning and skills </a:t>
          </a:r>
        </a:p>
        <a:p>
          <a:r>
            <a:rPr lang="en-AU"/>
            <a:t>People with disability achieve their full potential through their participation in an inclusive high quality education system that is responsive to their needs. People with disability have opportunities to continue learning throughout their lives.</a:t>
          </a:r>
        </a:p>
      </dgm:t>
    </dgm:pt>
    <dgm:pt modelId="{1DF86802-14AF-4F71-A99D-8F2191A28A63}" type="parTrans" cxnId="{045AF5B6-C67B-4108-8C47-EE27D393CF93}">
      <dgm:prSet/>
      <dgm:spPr/>
      <dgm:t>
        <a:bodyPr/>
        <a:lstStyle/>
        <a:p>
          <a:endParaRPr lang="en-US"/>
        </a:p>
      </dgm:t>
    </dgm:pt>
    <dgm:pt modelId="{6D58F06E-01ED-47BC-B682-75119E690C52}" type="sibTrans" cxnId="{045AF5B6-C67B-4108-8C47-EE27D393CF93}">
      <dgm:prSet/>
      <dgm:spPr/>
      <dgm:t>
        <a:bodyPr/>
        <a:lstStyle/>
        <a:p>
          <a:endParaRPr lang="en-US"/>
        </a:p>
      </dgm:t>
    </dgm:pt>
    <dgm:pt modelId="{5D54FBAE-E2B1-4262-97D6-4D3D626CA0D9}" type="pres">
      <dgm:prSet presAssocID="{50F9F81D-B8C8-4E50-9FA2-705982E0470B}" presName="diagram" presStyleCnt="0">
        <dgm:presLayoutVars>
          <dgm:dir/>
          <dgm:resizeHandles val="exact"/>
        </dgm:presLayoutVars>
      </dgm:prSet>
      <dgm:spPr/>
      <dgm:t>
        <a:bodyPr/>
        <a:lstStyle/>
        <a:p>
          <a:endParaRPr lang="en-US"/>
        </a:p>
      </dgm:t>
    </dgm:pt>
    <dgm:pt modelId="{9045FE46-F218-40F8-81CD-978E651663E2}" type="pres">
      <dgm:prSet presAssocID="{413EF92B-0658-4D7E-91D2-1F6886B3286F}" presName="node" presStyleLbl="node1" presStyleIdx="0" presStyleCnt="6">
        <dgm:presLayoutVars>
          <dgm:bulletEnabled val="1"/>
        </dgm:presLayoutVars>
      </dgm:prSet>
      <dgm:spPr/>
      <dgm:t>
        <a:bodyPr/>
        <a:lstStyle/>
        <a:p>
          <a:endParaRPr lang="en-US"/>
        </a:p>
      </dgm:t>
    </dgm:pt>
    <dgm:pt modelId="{AC9F2E03-1A03-49D3-9E65-F585BF1DD142}" type="pres">
      <dgm:prSet presAssocID="{866A4D8C-E974-4815-98E0-4607F792734D}" presName="sibTrans" presStyleCnt="0"/>
      <dgm:spPr/>
    </dgm:pt>
    <dgm:pt modelId="{3F68E491-9C32-4C08-8ED4-CAE3445ADE7C}" type="pres">
      <dgm:prSet presAssocID="{8C4EBE91-0182-408C-98E9-6700E5CD0D6D}" presName="node" presStyleLbl="node1" presStyleIdx="1" presStyleCnt="6">
        <dgm:presLayoutVars>
          <dgm:bulletEnabled val="1"/>
        </dgm:presLayoutVars>
      </dgm:prSet>
      <dgm:spPr/>
      <dgm:t>
        <a:bodyPr/>
        <a:lstStyle/>
        <a:p>
          <a:endParaRPr lang="en-US"/>
        </a:p>
      </dgm:t>
    </dgm:pt>
    <dgm:pt modelId="{9358CB16-A9F0-4158-8678-BDBC2EB65769}" type="pres">
      <dgm:prSet presAssocID="{E5003CC2-1B54-40E1-91C3-B6397FD71532}" presName="sibTrans" presStyleCnt="0"/>
      <dgm:spPr/>
    </dgm:pt>
    <dgm:pt modelId="{502C2D7B-8135-46D6-89C7-9AD7C955D6D7}" type="pres">
      <dgm:prSet presAssocID="{720029E7-88CA-4A43-9DFC-5A6AE3CCD814}" presName="node" presStyleLbl="node1" presStyleIdx="2" presStyleCnt="6">
        <dgm:presLayoutVars>
          <dgm:bulletEnabled val="1"/>
        </dgm:presLayoutVars>
      </dgm:prSet>
      <dgm:spPr/>
      <dgm:t>
        <a:bodyPr/>
        <a:lstStyle/>
        <a:p>
          <a:endParaRPr lang="en-US"/>
        </a:p>
      </dgm:t>
    </dgm:pt>
    <dgm:pt modelId="{29A16472-369F-4A7E-8E8A-10384064027E}" type="pres">
      <dgm:prSet presAssocID="{93A72912-0E30-4185-BF12-A271E9DB6A76}" presName="sibTrans" presStyleCnt="0"/>
      <dgm:spPr/>
    </dgm:pt>
    <dgm:pt modelId="{F5E960EA-74BF-4D5B-9742-348985305D3D}" type="pres">
      <dgm:prSet presAssocID="{006648E4-7E53-408D-B2B9-0D1DA879DD10}" presName="node" presStyleLbl="node1" presStyleIdx="3" presStyleCnt="6">
        <dgm:presLayoutVars>
          <dgm:bulletEnabled val="1"/>
        </dgm:presLayoutVars>
      </dgm:prSet>
      <dgm:spPr/>
      <dgm:t>
        <a:bodyPr/>
        <a:lstStyle/>
        <a:p>
          <a:endParaRPr lang="en-US"/>
        </a:p>
      </dgm:t>
    </dgm:pt>
    <dgm:pt modelId="{FA014E35-1597-49D2-86CD-4305AB0C0AA9}" type="pres">
      <dgm:prSet presAssocID="{E51F558A-510E-4DAB-9E00-13405B367842}" presName="sibTrans" presStyleCnt="0"/>
      <dgm:spPr/>
    </dgm:pt>
    <dgm:pt modelId="{7AC73850-4104-4E92-9E9E-844115E1E88D}" type="pres">
      <dgm:prSet presAssocID="{8961645E-1162-45C8-83EC-569416A2472A}" presName="node" presStyleLbl="node1" presStyleIdx="4" presStyleCnt="6">
        <dgm:presLayoutVars>
          <dgm:bulletEnabled val="1"/>
        </dgm:presLayoutVars>
      </dgm:prSet>
      <dgm:spPr/>
      <dgm:t>
        <a:bodyPr/>
        <a:lstStyle/>
        <a:p>
          <a:endParaRPr lang="en-US"/>
        </a:p>
      </dgm:t>
    </dgm:pt>
    <dgm:pt modelId="{402741A6-E6A2-45FE-BEFB-EA2F6D6FEF07}" type="pres">
      <dgm:prSet presAssocID="{6D58F06E-01ED-47BC-B682-75119E690C52}" presName="sibTrans" presStyleCnt="0"/>
      <dgm:spPr/>
    </dgm:pt>
    <dgm:pt modelId="{A87E2164-6828-4D56-8636-EC279DCBDBBA}" type="pres">
      <dgm:prSet presAssocID="{42DFB902-D7DA-4B3D-847B-231E4587E54F}" presName="node" presStyleLbl="node1" presStyleIdx="5" presStyleCnt="6">
        <dgm:presLayoutVars>
          <dgm:bulletEnabled val="1"/>
        </dgm:presLayoutVars>
      </dgm:prSet>
      <dgm:spPr/>
      <dgm:t>
        <a:bodyPr/>
        <a:lstStyle/>
        <a:p>
          <a:endParaRPr lang="en-US"/>
        </a:p>
      </dgm:t>
    </dgm:pt>
  </dgm:ptLst>
  <dgm:cxnLst>
    <dgm:cxn modelId="{286BD812-1327-4A1A-8BAF-49C3F21A64E1}" type="presOf" srcId="{42DFB902-D7DA-4B3D-847B-231E4587E54F}" destId="{A87E2164-6828-4D56-8636-EC279DCBDBBA}" srcOrd="0" destOrd="0" presId="urn:microsoft.com/office/officeart/2005/8/layout/default"/>
    <dgm:cxn modelId="{19E69549-C808-4688-ADE8-D809F6F311E7}" type="presOf" srcId="{720029E7-88CA-4A43-9DFC-5A6AE3CCD814}" destId="{502C2D7B-8135-46D6-89C7-9AD7C955D6D7}" srcOrd="0" destOrd="0" presId="urn:microsoft.com/office/officeart/2005/8/layout/default"/>
    <dgm:cxn modelId="{6A9E6069-9E4B-4A80-9E0D-5C16CBB02164}" type="presOf" srcId="{8C4EBE91-0182-408C-98E9-6700E5CD0D6D}" destId="{3F68E491-9C32-4C08-8ED4-CAE3445ADE7C}" srcOrd="0" destOrd="0" presId="urn:microsoft.com/office/officeart/2005/8/layout/default"/>
    <dgm:cxn modelId="{EFC09A4B-D210-4E6C-A305-2D14BC9C77F1}" type="presOf" srcId="{413EF92B-0658-4D7E-91D2-1F6886B3286F}" destId="{9045FE46-F218-40F8-81CD-978E651663E2}" srcOrd="0" destOrd="0" presId="urn:microsoft.com/office/officeart/2005/8/layout/default"/>
    <dgm:cxn modelId="{045AF5B6-C67B-4108-8C47-EE27D393CF93}" srcId="{50F9F81D-B8C8-4E50-9FA2-705982E0470B}" destId="{8961645E-1162-45C8-83EC-569416A2472A}" srcOrd="4" destOrd="0" parTransId="{1DF86802-14AF-4F71-A99D-8F2191A28A63}" sibTransId="{6D58F06E-01ED-47BC-B682-75119E690C52}"/>
    <dgm:cxn modelId="{5181555B-731F-40C9-B06E-80D708FC3DFD}" type="presOf" srcId="{50F9F81D-B8C8-4E50-9FA2-705982E0470B}" destId="{5D54FBAE-E2B1-4262-97D6-4D3D626CA0D9}" srcOrd="0" destOrd="0" presId="urn:microsoft.com/office/officeart/2005/8/layout/default"/>
    <dgm:cxn modelId="{37916868-1980-4511-8588-A32267806072}" srcId="{50F9F81D-B8C8-4E50-9FA2-705982E0470B}" destId="{42DFB902-D7DA-4B3D-847B-231E4587E54F}" srcOrd="5" destOrd="0" parTransId="{D90A3048-5FA8-46FB-98EE-92254F476A25}" sibTransId="{84857B01-8F66-4444-B055-49BE550E5769}"/>
    <dgm:cxn modelId="{D76BFF93-EE03-4083-A212-76C7110650CD}" srcId="{50F9F81D-B8C8-4E50-9FA2-705982E0470B}" destId="{006648E4-7E53-408D-B2B9-0D1DA879DD10}" srcOrd="3" destOrd="0" parTransId="{18A5D677-6FF8-4004-9CDC-89A6552C78E9}" sibTransId="{E51F558A-510E-4DAB-9E00-13405B367842}"/>
    <dgm:cxn modelId="{B6CE4ECA-5DE4-4584-9B67-21751BD97F26}" srcId="{50F9F81D-B8C8-4E50-9FA2-705982E0470B}" destId="{413EF92B-0658-4D7E-91D2-1F6886B3286F}" srcOrd="0" destOrd="0" parTransId="{C9E855BD-2F4B-474E-8E3A-D6B944F6995A}" sibTransId="{866A4D8C-E974-4815-98E0-4607F792734D}"/>
    <dgm:cxn modelId="{CBBAF5A9-204E-45E0-99CF-619DC5F6DF84}" srcId="{50F9F81D-B8C8-4E50-9FA2-705982E0470B}" destId="{8C4EBE91-0182-408C-98E9-6700E5CD0D6D}" srcOrd="1" destOrd="0" parTransId="{A82EF565-9805-4089-BCA9-30022EC1F6D9}" sibTransId="{E5003CC2-1B54-40E1-91C3-B6397FD71532}"/>
    <dgm:cxn modelId="{FF31B2A1-3117-4840-947E-AE639F0453B4}" srcId="{50F9F81D-B8C8-4E50-9FA2-705982E0470B}" destId="{720029E7-88CA-4A43-9DFC-5A6AE3CCD814}" srcOrd="2" destOrd="0" parTransId="{801E66D0-5AEB-44AD-BD44-EBEE155D2623}" sibTransId="{93A72912-0E30-4185-BF12-A271E9DB6A76}"/>
    <dgm:cxn modelId="{15BBE516-B6A2-4290-A66D-B5510675B0FB}" type="presOf" srcId="{006648E4-7E53-408D-B2B9-0D1DA879DD10}" destId="{F5E960EA-74BF-4D5B-9742-348985305D3D}" srcOrd="0" destOrd="0" presId="urn:microsoft.com/office/officeart/2005/8/layout/default"/>
    <dgm:cxn modelId="{0E1EA75E-BBF6-4156-8B15-61E087186688}" type="presOf" srcId="{8961645E-1162-45C8-83EC-569416A2472A}" destId="{7AC73850-4104-4E92-9E9E-844115E1E88D}" srcOrd="0" destOrd="0" presId="urn:microsoft.com/office/officeart/2005/8/layout/default"/>
    <dgm:cxn modelId="{0BC8AF8D-15AD-4703-83B6-17D7291E7B17}" type="presParOf" srcId="{5D54FBAE-E2B1-4262-97D6-4D3D626CA0D9}" destId="{9045FE46-F218-40F8-81CD-978E651663E2}" srcOrd="0" destOrd="0" presId="urn:microsoft.com/office/officeart/2005/8/layout/default"/>
    <dgm:cxn modelId="{15C1A1C7-04F0-4CB4-8FA6-4BF281AA8B47}" type="presParOf" srcId="{5D54FBAE-E2B1-4262-97D6-4D3D626CA0D9}" destId="{AC9F2E03-1A03-49D3-9E65-F585BF1DD142}" srcOrd="1" destOrd="0" presId="urn:microsoft.com/office/officeart/2005/8/layout/default"/>
    <dgm:cxn modelId="{CE90145E-8764-4C71-B80F-BA93180B5CE8}" type="presParOf" srcId="{5D54FBAE-E2B1-4262-97D6-4D3D626CA0D9}" destId="{3F68E491-9C32-4C08-8ED4-CAE3445ADE7C}" srcOrd="2" destOrd="0" presId="urn:microsoft.com/office/officeart/2005/8/layout/default"/>
    <dgm:cxn modelId="{0C8ECB10-0DB2-4E52-85A0-9C47255FA551}" type="presParOf" srcId="{5D54FBAE-E2B1-4262-97D6-4D3D626CA0D9}" destId="{9358CB16-A9F0-4158-8678-BDBC2EB65769}" srcOrd="3" destOrd="0" presId="urn:microsoft.com/office/officeart/2005/8/layout/default"/>
    <dgm:cxn modelId="{F60B7F38-80EB-4C7C-AA21-811226143048}" type="presParOf" srcId="{5D54FBAE-E2B1-4262-97D6-4D3D626CA0D9}" destId="{502C2D7B-8135-46D6-89C7-9AD7C955D6D7}" srcOrd="4" destOrd="0" presId="urn:microsoft.com/office/officeart/2005/8/layout/default"/>
    <dgm:cxn modelId="{BFD9B986-99EB-4C81-A680-3C9FD2D6CF20}" type="presParOf" srcId="{5D54FBAE-E2B1-4262-97D6-4D3D626CA0D9}" destId="{29A16472-369F-4A7E-8E8A-10384064027E}" srcOrd="5" destOrd="0" presId="urn:microsoft.com/office/officeart/2005/8/layout/default"/>
    <dgm:cxn modelId="{1A17EAA3-80DC-4208-A978-1596FC08B114}" type="presParOf" srcId="{5D54FBAE-E2B1-4262-97D6-4D3D626CA0D9}" destId="{F5E960EA-74BF-4D5B-9742-348985305D3D}" srcOrd="6" destOrd="0" presId="urn:microsoft.com/office/officeart/2005/8/layout/default"/>
    <dgm:cxn modelId="{D82EA2DC-7719-4C9B-A139-16E9F153488A}" type="presParOf" srcId="{5D54FBAE-E2B1-4262-97D6-4D3D626CA0D9}" destId="{FA014E35-1597-49D2-86CD-4305AB0C0AA9}" srcOrd="7" destOrd="0" presId="urn:microsoft.com/office/officeart/2005/8/layout/default"/>
    <dgm:cxn modelId="{78B2AF0B-EAF3-414F-9B6F-785E9D9A45EA}" type="presParOf" srcId="{5D54FBAE-E2B1-4262-97D6-4D3D626CA0D9}" destId="{7AC73850-4104-4E92-9E9E-844115E1E88D}" srcOrd="8" destOrd="0" presId="urn:microsoft.com/office/officeart/2005/8/layout/default"/>
    <dgm:cxn modelId="{F38AFC83-D982-4867-9D0C-4E9D9637B750}" type="presParOf" srcId="{5D54FBAE-E2B1-4262-97D6-4D3D626CA0D9}" destId="{402741A6-E6A2-45FE-BEFB-EA2F6D6FEF07}" srcOrd="9" destOrd="0" presId="urn:microsoft.com/office/officeart/2005/8/layout/default"/>
    <dgm:cxn modelId="{A92479D5-2698-44B6-A664-5F03B2ED3D44}" type="presParOf" srcId="{5D54FBAE-E2B1-4262-97D6-4D3D626CA0D9}" destId="{A87E2164-6828-4D56-8636-EC279DCBDBBA}" srcOrd="10"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45FE46-F218-40F8-81CD-978E651663E2}">
      <dsp:nvSpPr>
        <dsp:cNvPr id="0" name=""/>
        <dsp:cNvSpPr/>
      </dsp:nvSpPr>
      <dsp:spPr>
        <a:xfrm>
          <a:off x="0" y="261342"/>
          <a:ext cx="2059781" cy="1235868"/>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Inclusive and accessible communities </a:t>
          </a:r>
        </a:p>
        <a:p>
          <a:pPr lvl="0" algn="ctr" defTabSz="400050">
            <a:lnSpc>
              <a:spcPct val="90000"/>
            </a:lnSpc>
            <a:spcBef>
              <a:spcPct val="0"/>
            </a:spcBef>
            <a:spcAft>
              <a:spcPct val="35000"/>
            </a:spcAft>
          </a:pPr>
          <a:r>
            <a:rPr lang="en-AU" sz="900" kern="1200"/>
            <a:t>People with disability live in accessible and well-designed communities with opportunity for full inclusion in social, economic, sporting and cultural life</a:t>
          </a:r>
          <a:endParaRPr lang="en-US" sz="900" kern="1200"/>
        </a:p>
      </dsp:txBody>
      <dsp:txXfrm>
        <a:off x="0" y="261342"/>
        <a:ext cx="2059781" cy="1235868"/>
      </dsp:txXfrm>
    </dsp:sp>
    <dsp:sp modelId="{3F68E491-9C32-4C08-8ED4-CAE3445ADE7C}">
      <dsp:nvSpPr>
        <dsp:cNvPr id="0" name=""/>
        <dsp:cNvSpPr/>
      </dsp:nvSpPr>
      <dsp:spPr>
        <a:xfrm>
          <a:off x="2265759" y="261342"/>
          <a:ext cx="2059781" cy="1235868"/>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Rights protection, justice and legislation </a:t>
          </a:r>
        </a:p>
        <a:p>
          <a:pPr lvl="0" algn="ctr" defTabSz="400050">
            <a:lnSpc>
              <a:spcPct val="90000"/>
            </a:lnSpc>
            <a:spcBef>
              <a:spcPct val="0"/>
            </a:spcBef>
            <a:spcAft>
              <a:spcPct val="35000"/>
            </a:spcAft>
          </a:pPr>
          <a:r>
            <a:rPr lang="en-AU" sz="900" b="0" kern="1200"/>
            <a:t>Pe</a:t>
          </a:r>
          <a:r>
            <a:rPr lang="en-AU" sz="900" kern="1200"/>
            <a:t>ople with disability have their rights promoted, upheld and protected</a:t>
          </a:r>
        </a:p>
      </dsp:txBody>
      <dsp:txXfrm>
        <a:off x="2265759" y="261342"/>
        <a:ext cx="2059781" cy="1235868"/>
      </dsp:txXfrm>
    </dsp:sp>
    <dsp:sp modelId="{502C2D7B-8135-46D6-89C7-9AD7C955D6D7}">
      <dsp:nvSpPr>
        <dsp:cNvPr id="0" name=""/>
        <dsp:cNvSpPr/>
      </dsp:nvSpPr>
      <dsp:spPr>
        <a:xfrm>
          <a:off x="4531518" y="261342"/>
          <a:ext cx="2059781" cy="1235868"/>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Economic security </a:t>
          </a:r>
        </a:p>
        <a:p>
          <a:pPr lvl="0" algn="ctr" defTabSz="400050">
            <a:lnSpc>
              <a:spcPct val="90000"/>
            </a:lnSpc>
            <a:spcBef>
              <a:spcPct val="0"/>
            </a:spcBef>
            <a:spcAft>
              <a:spcPct val="35000"/>
            </a:spcAft>
          </a:pPr>
          <a:r>
            <a:rPr lang="en-AU" sz="900" kern="1200"/>
            <a:t>People with disability, their families and carers have economic security, enabling them to plan for the future and exercise choice and control over their lives</a:t>
          </a:r>
        </a:p>
      </dsp:txBody>
      <dsp:txXfrm>
        <a:off x="4531518" y="261342"/>
        <a:ext cx="2059781" cy="1235868"/>
      </dsp:txXfrm>
    </dsp:sp>
    <dsp:sp modelId="{F5E960EA-74BF-4D5B-9742-348985305D3D}">
      <dsp:nvSpPr>
        <dsp:cNvPr id="0" name=""/>
        <dsp:cNvSpPr/>
      </dsp:nvSpPr>
      <dsp:spPr>
        <a:xfrm>
          <a:off x="0" y="1703189"/>
          <a:ext cx="2059781" cy="1235868"/>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Personal and community support </a:t>
          </a:r>
        </a:p>
        <a:p>
          <a:pPr lvl="0" algn="ctr" defTabSz="400050">
            <a:lnSpc>
              <a:spcPct val="90000"/>
            </a:lnSpc>
            <a:spcBef>
              <a:spcPct val="0"/>
            </a:spcBef>
            <a:spcAft>
              <a:spcPct val="35000"/>
            </a:spcAft>
          </a:pPr>
          <a:r>
            <a:rPr lang="en-AU" sz="900" kern="1200"/>
            <a:t> People with disability, their families and carers have access to a range of supports to assist them to live independently and actively engage with their communities</a:t>
          </a:r>
        </a:p>
      </dsp:txBody>
      <dsp:txXfrm>
        <a:off x="0" y="1703189"/>
        <a:ext cx="2059781" cy="1235868"/>
      </dsp:txXfrm>
    </dsp:sp>
    <dsp:sp modelId="{7AC73850-4104-4E92-9E9E-844115E1E88D}">
      <dsp:nvSpPr>
        <dsp:cNvPr id="0" name=""/>
        <dsp:cNvSpPr/>
      </dsp:nvSpPr>
      <dsp:spPr>
        <a:xfrm>
          <a:off x="2265759" y="1703189"/>
          <a:ext cx="2059781" cy="1235868"/>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Learning and skills </a:t>
          </a:r>
        </a:p>
        <a:p>
          <a:pPr lvl="0" algn="ctr" defTabSz="400050">
            <a:lnSpc>
              <a:spcPct val="90000"/>
            </a:lnSpc>
            <a:spcBef>
              <a:spcPct val="0"/>
            </a:spcBef>
            <a:spcAft>
              <a:spcPct val="35000"/>
            </a:spcAft>
          </a:pPr>
          <a:r>
            <a:rPr lang="en-AU" sz="900" kern="1200"/>
            <a:t>People with disability achieve their full potential through their participation in an inclusive high quality education system that is responsive to their needs. People with disability have opportunities to continue learning throughout their lives.</a:t>
          </a:r>
        </a:p>
      </dsp:txBody>
      <dsp:txXfrm>
        <a:off x="2265759" y="1703189"/>
        <a:ext cx="2059781" cy="1235868"/>
      </dsp:txXfrm>
    </dsp:sp>
    <dsp:sp modelId="{A87E2164-6828-4D56-8636-EC279DCBDBBA}">
      <dsp:nvSpPr>
        <dsp:cNvPr id="0" name=""/>
        <dsp:cNvSpPr/>
      </dsp:nvSpPr>
      <dsp:spPr>
        <a:xfrm>
          <a:off x="4531518" y="1703189"/>
          <a:ext cx="2059781" cy="1235868"/>
        </a:xfrm>
        <a:prstGeom prst="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a:t>Health and wellbeing </a:t>
          </a:r>
        </a:p>
        <a:p>
          <a:pPr lvl="0" algn="ctr" defTabSz="400050">
            <a:lnSpc>
              <a:spcPct val="90000"/>
            </a:lnSpc>
            <a:spcBef>
              <a:spcPct val="0"/>
            </a:spcBef>
            <a:spcAft>
              <a:spcPct val="35000"/>
            </a:spcAft>
          </a:pPr>
          <a:r>
            <a:rPr lang="en-AU" sz="900" kern="1200"/>
            <a:t>People with disability attain highest possible health and wellbeing outcomes throughout their lives</a:t>
          </a:r>
        </a:p>
      </dsp:txBody>
      <dsp:txXfrm>
        <a:off x="4531518" y="1703189"/>
        <a:ext cx="2059781" cy="123586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96DB-1B16-406E-9B41-90CA4FE5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Katalin Pribusz</cp:lastModifiedBy>
  <cp:revision>2</cp:revision>
  <cp:lastPrinted>2020-08-31T01:43:00Z</cp:lastPrinted>
  <dcterms:created xsi:type="dcterms:W3CDTF">2020-09-24T02:30:00Z</dcterms:created>
  <dcterms:modified xsi:type="dcterms:W3CDTF">2020-09-24T02:30:00Z</dcterms:modified>
</cp:coreProperties>
</file>